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
    <w:p/>
    <w:p/>
    <w:p>
      <w:pPr>
        <w:spacing w:after="480"/>
        <w:jc w:val="center"/>
      </w:pPr>
      <w:r>
        <w:rPr>
          <w:rFonts w:ascii="Georgia" w:hAnsi="Georgia"/>
          <w:b w:val="0"/>
          <w:i w:val="0"/>
          <w:color w:val="C8553D"/>
          <w:sz w:val="18"/>
        </w:rPr>
        <w:t>A TREEHOUSE RESEARCH FINDINGS REPORT</w:t>
      </w:r>
    </w:p>
    <w:p>
      <w:pPr>
        <w:spacing w:after="80"/>
        <w:jc w:val="center"/>
      </w:pPr>
      <w:r>
        <w:rPr>
          <w:rFonts w:ascii="Georgia" w:hAnsi="Georgia"/>
          <w:b/>
          <w:i w:val="0"/>
          <w:color w:val="1A1A1A"/>
          <w:sz w:val="56"/>
        </w:rPr>
        <w:t>Bend-La Pine 2026</w:t>
      </w:r>
    </w:p>
    <w:p>
      <w:pPr>
        <w:spacing w:after="800"/>
        <w:jc w:val="center"/>
      </w:pPr>
      <w:r>
        <w:rPr>
          <w:rFonts w:ascii="Georgia" w:hAnsi="Georgia"/>
          <w:b w:val="0"/>
          <w:i/>
          <w:color w:val="3A3A3A"/>
          <w:sz w:val="28"/>
        </w:rPr>
        <w:t>A Demographically-Adjusted Look at Spending and Outcomes</w:t>
      </w:r>
    </w:p>
    <w:p>
      <w:pPr>
        <w:spacing w:after="40"/>
        <w:jc w:val="center"/>
      </w:pPr>
      <w:r>
        <w:rPr>
          <w:rFonts w:ascii="Georgia" w:hAnsi="Georgia"/>
          <w:b/>
          <w:i w:val="0"/>
          <w:color w:val="1A1A1A"/>
          <w:sz w:val="24"/>
        </w:rPr>
        <w:t>Sarah Schroeder, MPP</w:t>
      </w:r>
    </w:p>
    <w:p>
      <w:pPr>
        <w:spacing w:after="480"/>
        <w:jc w:val="center"/>
      </w:pPr>
      <w:r>
        <w:rPr>
          <w:rFonts w:ascii="Georgia" w:hAnsi="Georgia"/>
          <w:b w:val="0"/>
          <w:i w:val="0"/>
          <w:color w:val="6B6B6B"/>
          <w:sz w:val="21"/>
        </w:rPr>
        <w:t>Founder, Treehouse Local Consulting</w:t>
      </w:r>
    </w:p>
    <w:p>
      <w:pPr>
        <w:pBdr>
          <w:bottom w:val="single" w:sz="6" w:color="E5E5E0"/>
        </w:pBdr>
      </w:pPr>
    </w:p>
    <w:p>
      <w:pPr>
        <w:spacing w:after="40"/>
        <w:jc w:val="center"/>
      </w:pPr>
      <w:r>
        <w:rPr>
          <w:rFonts w:ascii="Georgia" w:hAnsi="Georgia"/>
          <w:b w:val="0"/>
          <w:i w:val="0"/>
          <w:color w:val="6B6B6B"/>
          <w:sz w:val="20"/>
        </w:rPr>
        <w:t>Published by Treehouse Research under Hands in Jars</w:t>
      </w:r>
    </w:p>
    <w:p>
      <w:pPr>
        <w:spacing w:after="40"/>
        <w:jc w:val="center"/>
      </w:pPr>
      <w:r>
        <w:rPr>
          <w:rFonts w:ascii="Georgia" w:hAnsi="Georgia"/>
          <w:b w:val="0"/>
          <w:i w:val="0"/>
          <w:color w:val="6B6B6B"/>
          <w:sz w:val="20"/>
        </w:rPr>
        <w:t>Bend, Oregon · May 2026</w:t>
      </w:r>
    </w:p>
    <w:p>
      <w:pPr>
        <w:spacing w:after="120"/>
        <w:jc w:val="center"/>
      </w:pPr>
      <w:r>
        <w:rPr>
          <w:rFonts w:ascii="Georgia" w:hAnsi="Georgia"/>
          <w:b w:val="0"/>
          <w:i w:val="0"/>
          <w:color w:val="8B3A28"/>
          <w:sz w:val="20"/>
        </w:rPr>
        <w:t>handsinjars.com/findings/bend-la-pine-2026</w:t>
      </w:r>
    </w:p>
    <w:p>
      <w:r>
        <w:br w:type="page"/>
      </w:r>
    </w:p>
    <w:p>
      <w:pPr>
        <w:pStyle w:val="Heading1"/>
      </w:pPr>
      <w:r>
        <w:t>Executive Summary</w:t>
      </w:r>
    </w:p>
    <w:p>
      <w:pPr>
        <w:spacing w:after="120"/>
      </w:pPr>
      <w:r>
        <w:rPr>
          <w:rFonts w:ascii="Georgia" w:hAnsi="Georgia"/>
          <w:b w:val="0"/>
          <w:i w:val="0"/>
          <w:color w:val="3A3A3A"/>
          <w:sz w:val="22"/>
        </w:rPr>
        <w:t>Bend-La Pine Administrative School District 1 enrolls roughly 16,900 students and spends near the Oregon median per pupil. On the 2024-25 Smarter Balanced assessments, the district outperforms what an Oregon-internal regression on demographic composition predicts by about 4.5 percentage points in English language arts and 7.9 percentage points in math. The state itself ranks near the bottom of the country on the 2024 National Assessment of Educational Progress while spending in the upper half of states; Bend-La Pine is a relative bright spot within a system-level problem. This is a descriptive finding, not a causal one.</w:t>
      </w:r>
    </w:p>
    <w:p>
      <w:pPr>
        <w:pStyle w:val="ListBullet"/>
        <w:spacing w:after="80"/>
      </w:pPr>
      <w:r>
        <w:rPr>
          <w:rFonts w:ascii="Georgia" w:hAnsi="Georgia"/>
          <w:b/>
          <w:color w:val="1A1A1A"/>
          <w:sz w:val="22"/>
        </w:rPr>
        <w:t>Outcomes above peer expectation.</w:t>
      </w:r>
      <w:r>
        <w:rPr>
          <w:rFonts w:ascii="Georgia" w:hAnsi="Georgia"/>
          <w:color w:val="3A3A3A"/>
          <w:sz w:val="22"/>
        </w:rPr>
        <w:t xml:space="preserve"> Bend-La Pine's 2024-25 SBAC pass rates are 53.0% (ELA) and 41.9% (math). Demographically-adjusted residuals against the Oregon-internal model are +4.5 pp and +7.9 pp respectively.</w:t>
      </w:r>
    </w:p>
    <w:p>
      <w:pPr>
        <w:pStyle w:val="ListBullet"/>
        <w:spacing w:after="80"/>
      </w:pPr>
      <w:r>
        <w:rPr>
          <w:rFonts w:ascii="Georgia" w:hAnsi="Georgia"/>
          <w:b/>
          <w:color w:val="1A1A1A"/>
          <w:sz w:val="22"/>
        </w:rPr>
        <w:t>Spending below peer median.</w:t>
      </w:r>
      <w:r>
        <w:rPr>
          <w:rFonts w:ascii="Georgia" w:hAnsi="Georgia"/>
          <w:color w:val="3A3A3A"/>
          <w:sz w:val="22"/>
        </w:rPr>
        <w:t xml:space="preserve"> Per-pupil total expenditure in FY24 was $19,938, below the Oregon district median of $23,373 and below every one of the district's six algorithmically-selected demographic peers.</w:t>
      </w:r>
    </w:p>
    <w:p>
      <w:pPr>
        <w:pStyle w:val="ListBullet"/>
        <w:spacing w:after="80"/>
      </w:pPr>
      <w:r>
        <w:rPr>
          <w:rFonts w:ascii="Georgia" w:hAnsi="Georgia"/>
          <w:b/>
          <w:color w:val="1A1A1A"/>
          <w:sz w:val="22"/>
        </w:rPr>
        <w:t>Personnel-intensive operations.</w:t>
      </w:r>
      <w:r>
        <w:rPr>
          <w:rFonts w:ascii="Georgia" w:hAnsi="Georgia"/>
          <w:color w:val="3A3A3A"/>
          <w:sz w:val="22"/>
        </w:rPr>
        <w:t xml:space="preserve"> Personnel costs (salaries + benefits) account for approximately 77% of General Fund operating expenditures (FY25 ACFR) and 84% on the pipeline operating basis (FY24), against an Oregon median of about 75% on the same operating-only basis. Bend-La Pine is personnel-intensive — typical for Oregon.</w:t>
      </w:r>
    </w:p>
    <w:p>
      <w:pPr>
        <w:pStyle w:val="ListBullet"/>
        <w:spacing w:after="80"/>
      </w:pPr>
      <w:r>
        <w:rPr>
          <w:rFonts w:ascii="Georgia" w:hAnsi="Georgia"/>
          <w:b/>
          <w:color w:val="1A1A1A"/>
          <w:sz w:val="22"/>
        </w:rPr>
        <w:t>Bond stack fully drawn.</w:t>
      </w:r>
      <w:r>
        <w:rPr>
          <w:rFonts w:ascii="Georgia" w:hAnsi="Georgia"/>
          <w:color w:val="3A3A3A"/>
          <w:sz w:val="22"/>
        </w:rPr>
        <w:t xml:space="preserve"> Voters authorized $249.7 million in 2022. The district issued $100 million in 2023 (Series 2023) and $149.7 million in 2025 (Series 2025) — the exact authorized amount in two tranches. Cumulative bond issuance since 2013 totals about $771.7 million across seven series.</w:t>
      </w:r>
    </w:p>
    <w:p>
      <w:pPr>
        <w:pStyle w:val="ListBullet"/>
        <w:spacing w:after="80"/>
      </w:pPr>
      <w:r>
        <w:rPr>
          <w:rFonts w:ascii="Georgia" w:hAnsi="Georgia"/>
          <w:b/>
          <w:color w:val="1A1A1A"/>
          <w:sz w:val="22"/>
        </w:rPr>
        <w:t>Transparency: green-yellow.</w:t>
      </w:r>
      <w:r>
        <w:rPr>
          <w:rFonts w:ascii="Georgia" w:hAnsi="Georgia"/>
          <w:color w:val="3A3A3A"/>
          <w:sz w:val="22"/>
        </w:rPr>
        <w:t xml:space="preserve"> On a five-item fiscal-transparency rubric, the district scored two green (ACFR timeliness, board financial detail) and three yellow (machine-readable budget, public bond-expenditure schedule, district-republished ESSA per-school data). No item failed.</w:t>
      </w:r>
    </w:p>
    <w:p>
      <w:r>
        <w:br w:type="page"/>
      </w:r>
    </w:p>
    <w:p>
      <w:pPr>
        <w:pStyle w:val="Heading1"/>
      </w:pPr>
      <w:r>
        <w:t>1. Bend-La Pine in context</w:t>
      </w:r>
    </w:p>
    <w:p>
      <w:pPr>
        <w:pStyle w:val="Heading2"/>
      </w:pPr>
      <w:r>
        <w:t>Enrollment trend</w:t>
      </w:r>
    </w:p>
    <w:p>
      <w:pPr>
        <w:spacing w:after="120"/>
      </w:pPr>
      <w:r>
        <w:rPr>
          <w:rFonts w:ascii="Georgia" w:hAnsi="Georgia"/>
          <w:b w:val="0"/>
          <w:i w:val="0"/>
          <w:color w:val="3A3A3A"/>
          <w:sz w:val="22"/>
        </w:rPr>
        <w:t>Bend-La Pine enrollment has declined steadily since the pre-pandemic peak. In 2016-17 the district reported 17,984 students; by 2025-26 the reported count had fallen to 16,530 — a loss of roughly 1,454 students over nine years. The steepest single-year drop coincided with the 2020-21 pandemic year. The post-pandemic trajectory has not recovered to the pre-pandemic baseline.</w:t>
      </w:r>
    </w:p>
    <w:p>
      <w:pPr>
        <w:spacing w:after="200"/>
      </w:pPr>
      <w:r>
        <w:rPr>
          <w:rFonts w:ascii="Georgia" w:hAnsi="Georgia"/>
          <w:b w:val="0"/>
          <w:i/>
          <w:color w:val="6B6B6B"/>
          <w:sz w:val="19"/>
        </w:rPr>
        <w:t>ODE Fall Membership reports, 2016-17 through 2025-26 (source: ode.oregon.gov; local copies at D:/Documents/Oregon Education Data/ODE Enrollment/).</w:t>
      </w:r>
    </w:p>
    <w:p>
      <w:pPr>
        <w:pStyle w:val="Heading2"/>
      </w:pPr>
      <w:r>
        <w:t>Demographic composition</w:t>
      </w:r>
    </w:p>
    <w:p>
      <w:pPr>
        <w:spacing w:after="120"/>
      </w:pPr>
      <w:r>
        <w:rPr>
          <w:rFonts w:ascii="Georgia" w:hAnsi="Georgia"/>
          <w:b w:val="0"/>
          <w:i w:val="0"/>
          <w:color w:val="3A3A3A"/>
          <w:sz w:val="22"/>
        </w:rPr>
        <w:t>As of 2024-25 the district reports 16,878 students with the following demographic composition (ODE Spring Enrollment 2024-25 and NCES CCD SY 2024-25):</w:t>
      </w:r>
    </w:p>
    <w:p>
      <w:pPr>
        <w:pStyle w:val="ListBullet"/>
        <w:spacing w:after="80"/>
      </w:pPr>
      <w:r>
        <w:rPr>
          <w:rFonts w:ascii="Georgia" w:hAnsi="Georgia"/>
          <w:b/>
          <w:color w:val="1A1A1A"/>
          <w:sz w:val="22"/>
        </w:rPr>
        <w:t>Poverty:</w:t>
      </w:r>
      <w:r>
        <w:rPr>
          <w:rFonts w:ascii="Georgia" w:hAnsi="Georgia"/>
          <w:color w:val="3A3A3A"/>
          <w:sz w:val="22"/>
        </w:rPr>
        <w:t xml:space="preserve">  22% of students experiencing poverty</w:t>
      </w:r>
    </w:p>
    <w:p>
      <w:pPr>
        <w:pStyle w:val="ListBullet"/>
        <w:spacing w:after="80"/>
      </w:pPr>
      <w:r>
        <w:rPr>
          <w:rFonts w:ascii="Georgia" w:hAnsi="Georgia"/>
          <w:b/>
          <w:color w:val="1A1A1A"/>
          <w:sz w:val="22"/>
        </w:rPr>
        <w:t>IEP:</w:t>
      </w:r>
      <w:r>
        <w:rPr>
          <w:rFonts w:ascii="Georgia" w:hAnsi="Georgia"/>
          <w:color w:val="3A3A3A"/>
          <w:sz w:val="22"/>
        </w:rPr>
        <w:t xml:space="preserve">  13% receiving special-education services</w:t>
      </w:r>
    </w:p>
    <w:p>
      <w:pPr>
        <w:pStyle w:val="ListBullet"/>
        <w:spacing w:after="80"/>
      </w:pPr>
      <w:r>
        <w:rPr>
          <w:rFonts w:ascii="Georgia" w:hAnsi="Georgia"/>
          <w:b/>
          <w:color w:val="1A1A1A"/>
          <w:sz w:val="22"/>
        </w:rPr>
        <w:t>EL:</w:t>
      </w:r>
      <w:r>
        <w:rPr>
          <w:rFonts w:ascii="Georgia" w:hAnsi="Georgia"/>
          <w:color w:val="3A3A3A"/>
          <w:sz w:val="22"/>
        </w:rPr>
        <w:t xml:space="preserve">  9% ever-an-English-learner</w:t>
      </w:r>
    </w:p>
    <w:p>
      <w:pPr>
        <w:pStyle w:val="ListBullet"/>
        <w:spacing w:after="80"/>
      </w:pPr>
      <w:r>
        <w:rPr>
          <w:rFonts w:ascii="Georgia" w:hAnsi="Georgia"/>
          <w:b/>
          <w:color w:val="1A1A1A"/>
          <w:sz w:val="22"/>
        </w:rPr>
        <w:t>Hispanic share:</w:t>
      </w:r>
      <w:r>
        <w:rPr>
          <w:rFonts w:ascii="Georgia" w:hAnsi="Georgia"/>
          <w:color w:val="3A3A3A"/>
          <w:sz w:val="22"/>
        </w:rPr>
        <w:t xml:space="preserve">  13.8% Hispanic enrollment</w:t>
      </w:r>
    </w:p>
    <w:p>
      <w:pPr>
        <w:pStyle w:val="Heading2"/>
      </w:pPr>
      <w:r>
        <w:t>Peer-district selection</w:t>
      </w:r>
    </w:p>
    <w:p>
      <w:pPr>
        <w:spacing w:after="120"/>
      </w:pPr>
      <w:r>
        <w:rPr>
          <w:rFonts w:ascii="Georgia" w:hAnsi="Georgia"/>
          <w:b w:val="0"/>
          <w:i w:val="0"/>
          <w:color w:val="3A3A3A"/>
          <w:sz w:val="22"/>
        </w:rPr>
        <w:t>Z-score-standardized Euclidean distance on (pct_frl, pct_iep, pct_ell, pct_hispanic, log(enrollment)). Candidate pool = Oregon districts with enrollment &gt;= 2000 (excludes small-sample noise). Top 6 nearest selected. Source: oregon_districts_v1_5.parquet.</w:t>
      </w:r>
    </w:p>
    <w:p>
      <w:pPr>
        <w:spacing w:after="120"/>
      </w:pPr>
      <w:r>
        <w:rPr>
          <w:rFonts w:ascii="Georgia" w:hAnsi="Georgia"/>
          <w:b w:val="0"/>
          <w:i w:val="0"/>
          <w:color w:val="3A3A3A"/>
          <w:sz w:val="22"/>
        </w:rPr>
        <w:t>The six selected peers, in order of increasing demographic distance: Eugene SD 4J, West Linn-Wilsonville SD 3J, Tigard-Tualatin SD 23J, Oregon City SD 62, Redmond SD 2J, Corvallis SD 509J. The set is algorithmic, not nominated. Beaverton, Hillsboro, and Salem-Keizer were available in the candidate pool but were rejected as too high-poverty for a fair peer comparison.</w:t>
      </w:r>
    </w:p>
    <w:p>
      <w:pPr>
        <w:spacing w:before="120" w:after="200"/>
        <w:ind w:left="360"/>
        <w:pBdr>
          <w:left w:val="single" w:sz="18" w:color="C8553D"/>
        </w:pBdr>
      </w:pPr>
      <w:r>
        <w:rPr>
          <w:rFonts w:ascii="Georgia" w:hAnsi="Georgia"/>
          <w:i/>
          <w:color w:val="3A3A3A"/>
          <w:sz w:val="21"/>
        </w:rPr>
        <w:t>Caveat on peer selection. The peer set reflects the demographic vector chosen for the matching distance (poverty, IEP, EL, Hispanic share, log enrollment). A different weighting — for instance, weighting geographic isolation or rural-vs-urban character — would produce a different set. Sarah's editorial review of the peer set is an open question on this analysis.</w:t>
      </w:r>
    </w:p>
    <w:p>
      <w:r>
        <w:br w:type="page"/>
      </w:r>
    </w:p>
    <w:p>
      <w:pPr>
        <w:pStyle w:val="Heading1"/>
      </w:pPr>
      <w:r>
        <w:t>2. The money</w:t>
      </w:r>
    </w:p>
    <w:p>
      <w:pPr>
        <w:pStyle w:val="Heading2"/>
      </w:pPr>
      <w:r>
        <w:t>Per-pupil spending</w:t>
      </w:r>
    </w:p>
    <w:p>
      <w:pPr>
        <w:spacing w:after="120"/>
      </w:pPr>
      <w:r>
        <w:rPr>
          <w:rFonts w:ascii="Georgia" w:hAnsi="Georgia"/>
          <w:b w:val="0"/>
          <w:i w:val="0"/>
          <w:color w:val="3A3A3A"/>
          <w:sz w:val="22"/>
        </w:rPr>
        <w:t>In FY24, Bend-La Pine spent $19,938 per pupil on total expenditures (all funds, divided by Fall 2024 enrollment). The Oregon district-level median for the same year and definition was $23,373. Each of the six algorithmic peers spent more per pupil than Bend-La Pine.</w:t>
      </w:r>
    </w:p>
    <w:tbl>
      <w:tblPr>
        <w:tblStyle w:val="LightGrid-Accent1"/>
        <w:tblW w:type="auto" w:w="0"/>
        <w:tblLook w:firstColumn="1" w:firstRow="1" w:lastColumn="0" w:lastRow="0" w:noHBand="0" w:noVBand="1" w:val="04A0"/>
      </w:tblPr>
      <w:tblGrid>
        <w:gridCol w:w="1512"/>
        <w:gridCol w:w="1512"/>
        <w:gridCol w:w="1512"/>
        <w:gridCol w:w="1512"/>
        <w:gridCol w:w="1512"/>
        <w:gridCol w:w="1512"/>
      </w:tblGrid>
      <w:tr>
        <w:tc>
          <w:tcPr>
            <w:tcW w:type="dxa" w:w="1512"/>
          </w:tcPr>
          <w:p>
            <w:r/>
            <w:r>
              <w:rPr>
                <w:rFonts w:ascii="Georgia" w:hAnsi="Georgia"/>
                <w:b/>
                <w:color w:val="1A1A1A"/>
                <w:sz w:val="19"/>
              </w:rPr>
              <w:t>District</w:t>
            </w:r>
          </w:p>
        </w:tc>
        <w:tc>
          <w:tcPr>
            <w:tcW w:type="dxa" w:w="1512"/>
          </w:tcPr>
          <w:p>
            <w:r/>
            <w:r>
              <w:rPr>
                <w:rFonts w:ascii="Georgia" w:hAnsi="Georgia"/>
                <w:b/>
                <w:color w:val="1A1A1A"/>
                <w:sz w:val="19"/>
              </w:rPr>
              <w:t>Per-pupil total</w:t>
            </w:r>
          </w:p>
        </w:tc>
        <w:tc>
          <w:tcPr>
            <w:tcW w:type="dxa" w:w="1512"/>
          </w:tcPr>
          <w:p>
            <w:r/>
            <w:r>
              <w:rPr>
                <w:rFonts w:ascii="Georgia" w:hAnsi="Georgia"/>
                <w:b/>
                <w:color w:val="1A1A1A"/>
                <w:sz w:val="19"/>
              </w:rPr>
              <w:t>SBAC ELA</w:t>
            </w:r>
          </w:p>
        </w:tc>
        <w:tc>
          <w:tcPr>
            <w:tcW w:type="dxa" w:w="1512"/>
          </w:tcPr>
          <w:p>
            <w:r/>
            <w:r>
              <w:rPr>
                <w:rFonts w:ascii="Georgia" w:hAnsi="Georgia"/>
                <w:b/>
                <w:color w:val="1A1A1A"/>
                <w:sz w:val="19"/>
              </w:rPr>
              <w:t>SBAC Math</w:t>
            </w:r>
          </w:p>
        </w:tc>
        <w:tc>
          <w:tcPr>
            <w:tcW w:type="dxa" w:w="1512"/>
          </w:tcPr>
          <w:p>
            <w:r/>
            <w:r>
              <w:rPr>
                <w:rFonts w:ascii="Georgia" w:hAnsi="Georgia"/>
                <w:b/>
                <w:color w:val="1A1A1A"/>
                <w:sz w:val="19"/>
              </w:rPr>
              <w:t>ELA residual</w:t>
            </w:r>
          </w:p>
        </w:tc>
        <w:tc>
          <w:tcPr>
            <w:tcW w:type="dxa" w:w="1512"/>
          </w:tcPr>
          <w:p>
            <w:r/>
            <w:r>
              <w:rPr>
                <w:rFonts w:ascii="Georgia" w:hAnsi="Georgia"/>
                <w:b/>
                <w:color w:val="1A1A1A"/>
                <w:sz w:val="19"/>
              </w:rPr>
              <w:t>Math residual</w:t>
            </w:r>
          </w:p>
        </w:tc>
      </w:tr>
      <w:tr>
        <w:tc>
          <w:tcPr>
            <w:tcW w:type="dxa" w:w="1512"/>
          </w:tcPr>
          <w:p>
            <w:r/>
            <w:r>
              <w:rPr>
                <w:rFonts w:ascii="Georgia" w:hAnsi="Georgia"/>
                <w:color w:val="3A3A3A"/>
                <w:sz w:val="19"/>
              </w:rPr>
              <w:t>Bend-LaPine Administrative SD 1</w:t>
            </w:r>
          </w:p>
        </w:tc>
        <w:tc>
          <w:tcPr>
            <w:tcW w:type="dxa" w:w="1512"/>
          </w:tcPr>
          <w:p>
            <w:r/>
            <w:r>
              <w:rPr>
                <w:rFonts w:ascii="Georgia" w:hAnsi="Georgia"/>
                <w:color w:val="3A3A3A"/>
                <w:sz w:val="19"/>
              </w:rPr>
              <w:t>$19,938</w:t>
            </w:r>
          </w:p>
        </w:tc>
        <w:tc>
          <w:tcPr>
            <w:tcW w:type="dxa" w:w="1512"/>
          </w:tcPr>
          <w:p>
            <w:r/>
            <w:r>
              <w:rPr>
                <w:rFonts w:ascii="Georgia" w:hAnsi="Georgia"/>
                <w:color w:val="3A3A3A"/>
                <w:sz w:val="19"/>
              </w:rPr>
              <w:t>53.0%</w:t>
            </w:r>
          </w:p>
        </w:tc>
        <w:tc>
          <w:tcPr>
            <w:tcW w:type="dxa" w:w="1512"/>
          </w:tcPr>
          <w:p>
            <w:r/>
            <w:r>
              <w:rPr>
                <w:rFonts w:ascii="Georgia" w:hAnsi="Georgia"/>
                <w:color w:val="3A3A3A"/>
                <w:sz w:val="19"/>
              </w:rPr>
              <w:t>41.9%</w:t>
            </w:r>
          </w:p>
        </w:tc>
        <w:tc>
          <w:tcPr>
            <w:tcW w:type="dxa" w:w="1512"/>
          </w:tcPr>
          <w:p>
            <w:r/>
            <w:r>
              <w:rPr>
                <w:rFonts w:ascii="Georgia" w:hAnsi="Georgia"/>
                <w:color w:val="3A3A3A"/>
                <w:sz w:val="19"/>
              </w:rPr>
              <w:t>+4.5</w:t>
            </w:r>
          </w:p>
        </w:tc>
        <w:tc>
          <w:tcPr>
            <w:tcW w:type="dxa" w:w="1512"/>
          </w:tcPr>
          <w:p>
            <w:r/>
            <w:r>
              <w:rPr>
                <w:rFonts w:ascii="Georgia" w:hAnsi="Georgia"/>
                <w:color w:val="3A3A3A"/>
                <w:sz w:val="19"/>
              </w:rPr>
              <w:t>+7.9</w:t>
            </w:r>
          </w:p>
        </w:tc>
      </w:tr>
      <w:tr>
        <w:tc>
          <w:tcPr>
            <w:tcW w:type="dxa" w:w="1512"/>
          </w:tcPr>
          <w:p>
            <w:r/>
            <w:r>
              <w:rPr>
                <w:rFonts w:ascii="Georgia" w:hAnsi="Georgia"/>
                <w:color w:val="3A3A3A"/>
                <w:sz w:val="19"/>
              </w:rPr>
              <w:t>Eugene SD 4J</w:t>
            </w:r>
          </w:p>
        </w:tc>
        <w:tc>
          <w:tcPr>
            <w:tcW w:type="dxa" w:w="1512"/>
          </w:tcPr>
          <w:p>
            <w:r/>
            <w:r>
              <w:rPr>
                <w:rFonts w:ascii="Georgia" w:hAnsi="Georgia"/>
                <w:color w:val="3A3A3A"/>
                <w:sz w:val="19"/>
              </w:rPr>
              <w:t>$27,356</w:t>
            </w:r>
          </w:p>
        </w:tc>
        <w:tc>
          <w:tcPr>
            <w:tcW w:type="dxa" w:w="1512"/>
          </w:tcPr>
          <w:p>
            <w:r/>
            <w:r>
              <w:rPr>
                <w:rFonts w:ascii="Georgia" w:hAnsi="Georgia"/>
                <w:color w:val="3A3A3A"/>
                <w:sz w:val="19"/>
              </w:rPr>
              <w:t>49.2%</w:t>
            </w:r>
          </w:p>
        </w:tc>
        <w:tc>
          <w:tcPr>
            <w:tcW w:type="dxa" w:w="1512"/>
          </w:tcPr>
          <w:p>
            <w:r/>
            <w:r>
              <w:rPr>
                <w:rFonts w:ascii="Georgia" w:hAnsi="Georgia"/>
                <w:color w:val="3A3A3A"/>
                <w:sz w:val="19"/>
              </w:rPr>
              <w:t>37.0%</w:t>
            </w:r>
          </w:p>
        </w:tc>
        <w:tc>
          <w:tcPr>
            <w:tcW w:type="dxa" w:w="1512"/>
          </w:tcPr>
          <w:p>
            <w:r/>
            <w:r>
              <w:rPr>
                <w:rFonts w:ascii="Georgia" w:hAnsi="Georgia"/>
                <w:color w:val="3A3A3A"/>
                <w:sz w:val="19"/>
              </w:rPr>
              <w:t>+2.1</w:t>
            </w:r>
          </w:p>
        </w:tc>
        <w:tc>
          <w:tcPr>
            <w:tcW w:type="dxa" w:w="1512"/>
          </w:tcPr>
          <w:p>
            <w:r/>
            <w:r>
              <w:rPr>
                <w:rFonts w:ascii="Georgia" w:hAnsi="Georgia"/>
                <w:color w:val="3A3A3A"/>
                <w:sz w:val="19"/>
              </w:rPr>
              <w:t>+2.6</w:t>
            </w:r>
          </w:p>
        </w:tc>
      </w:tr>
      <w:tr>
        <w:tc>
          <w:tcPr>
            <w:tcW w:type="dxa" w:w="1512"/>
          </w:tcPr>
          <w:p>
            <w:r/>
            <w:r>
              <w:rPr>
                <w:rFonts w:ascii="Georgia" w:hAnsi="Georgia"/>
                <w:color w:val="3A3A3A"/>
                <w:sz w:val="19"/>
              </w:rPr>
              <w:t>West Linn-Wilsonville SD 3J</w:t>
            </w:r>
          </w:p>
        </w:tc>
        <w:tc>
          <w:tcPr>
            <w:tcW w:type="dxa" w:w="1512"/>
          </w:tcPr>
          <w:p>
            <w:r/>
            <w:r>
              <w:rPr>
                <w:rFonts w:ascii="Georgia" w:hAnsi="Georgia"/>
                <w:color w:val="3A3A3A"/>
                <w:sz w:val="19"/>
              </w:rPr>
              <w:t>$28,572</w:t>
            </w:r>
          </w:p>
        </w:tc>
        <w:tc>
          <w:tcPr>
            <w:tcW w:type="dxa" w:w="1512"/>
          </w:tcPr>
          <w:p>
            <w:r/>
            <w:r>
              <w:rPr>
                <w:rFonts w:ascii="Georgia" w:hAnsi="Georgia"/>
                <w:color w:val="3A3A3A"/>
                <w:sz w:val="19"/>
              </w:rPr>
              <w:t>59.8%</w:t>
            </w:r>
          </w:p>
        </w:tc>
        <w:tc>
          <w:tcPr>
            <w:tcW w:type="dxa" w:w="1512"/>
          </w:tcPr>
          <w:p>
            <w:r/>
            <w:r>
              <w:rPr>
                <w:rFonts w:ascii="Georgia" w:hAnsi="Georgia"/>
                <w:color w:val="3A3A3A"/>
                <w:sz w:val="19"/>
              </w:rPr>
              <w:t>49.3%</w:t>
            </w:r>
          </w:p>
        </w:tc>
        <w:tc>
          <w:tcPr>
            <w:tcW w:type="dxa" w:w="1512"/>
          </w:tcPr>
          <w:p>
            <w:r/>
            <w:r>
              <w:rPr>
                <w:rFonts w:ascii="Georgia" w:hAnsi="Georgia"/>
                <w:color w:val="3A3A3A"/>
                <w:sz w:val="19"/>
              </w:rPr>
              <w:t>+3.5</w:t>
            </w:r>
          </w:p>
        </w:tc>
        <w:tc>
          <w:tcPr>
            <w:tcW w:type="dxa" w:w="1512"/>
          </w:tcPr>
          <w:p>
            <w:r/>
            <w:r>
              <w:rPr>
                <w:rFonts w:ascii="Georgia" w:hAnsi="Georgia"/>
                <w:color w:val="3A3A3A"/>
                <w:sz w:val="19"/>
              </w:rPr>
              <w:t>+6.7</w:t>
            </w:r>
          </w:p>
        </w:tc>
      </w:tr>
      <w:tr>
        <w:tc>
          <w:tcPr>
            <w:tcW w:type="dxa" w:w="1512"/>
          </w:tcPr>
          <w:p>
            <w:r/>
            <w:r>
              <w:rPr>
                <w:rFonts w:ascii="Georgia" w:hAnsi="Georgia"/>
                <w:color w:val="3A3A3A"/>
                <w:sz w:val="19"/>
              </w:rPr>
              <w:t>Tigard-Tualatin SD 23J</w:t>
            </w:r>
          </w:p>
        </w:tc>
        <w:tc>
          <w:tcPr>
            <w:tcW w:type="dxa" w:w="1512"/>
          </w:tcPr>
          <w:p>
            <w:r/>
            <w:r>
              <w:rPr>
                <w:rFonts w:ascii="Georgia" w:hAnsi="Georgia"/>
                <w:color w:val="3A3A3A"/>
                <w:sz w:val="19"/>
              </w:rPr>
              <w:t>$23,168</w:t>
            </w:r>
          </w:p>
        </w:tc>
        <w:tc>
          <w:tcPr>
            <w:tcW w:type="dxa" w:w="1512"/>
          </w:tcPr>
          <w:p>
            <w:r/>
            <w:r>
              <w:rPr>
                <w:rFonts w:ascii="Georgia" w:hAnsi="Georgia"/>
                <w:color w:val="3A3A3A"/>
                <w:sz w:val="19"/>
              </w:rPr>
              <w:t>46.7%</w:t>
            </w:r>
          </w:p>
        </w:tc>
        <w:tc>
          <w:tcPr>
            <w:tcW w:type="dxa" w:w="1512"/>
          </w:tcPr>
          <w:p>
            <w:r/>
            <w:r>
              <w:rPr>
                <w:rFonts w:ascii="Georgia" w:hAnsi="Georgia"/>
                <w:color w:val="3A3A3A"/>
                <w:sz w:val="19"/>
              </w:rPr>
              <w:t>34.0%</w:t>
            </w:r>
          </w:p>
        </w:tc>
        <w:tc>
          <w:tcPr>
            <w:tcW w:type="dxa" w:w="1512"/>
          </w:tcPr>
          <w:p>
            <w:r/>
            <w:r>
              <w:rPr>
                <w:rFonts w:ascii="Georgia" w:hAnsi="Georgia"/>
                <w:color w:val="3A3A3A"/>
                <w:sz w:val="19"/>
              </w:rPr>
              <w:t>-2.7</w:t>
            </w:r>
          </w:p>
        </w:tc>
        <w:tc>
          <w:tcPr>
            <w:tcW w:type="dxa" w:w="1512"/>
          </w:tcPr>
          <w:p>
            <w:r/>
            <w:r>
              <w:rPr>
                <w:rFonts w:ascii="Georgia" w:hAnsi="Georgia"/>
                <w:color w:val="3A3A3A"/>
                <w:sz w:val="19"/>
              </w:rPr>
              <w:t>-3.6</w:t>
            </w:r>
          </w:p>
        </w:tc>
      </w:tr>
      <w:tr>
        <w:tc>
          <w:tcPr>
            <w:tcW w:type="dxa" w:w="1512"/>
          </w:tcPr>
          <w:p>
            <w:r/>
            <w:r>
              <w:rPr>
                <w:rFonts w:ascii="Georgia" w:hAnsi="Georgia"/>
                <w:color w:val="3A3A3A"/>
                <w:sz w:val="19"/>
              </w:rPr>
              <w:t>Oregon City SD 62</w:t>
            </w:r>
          </w:p>
        </w:tc>
        <w:tc>
          <w:tcPr>
            <w:tcW w:type="dxa" w:w="1512"/>
          </w:tcPr>
          <w:p>
            <w:r/>
            <w:r>
              <w:rPr>
                <w:rFonts w:ascii="Georgia" w:hAnsi="Georgia"/>
                <w:color w:val="3A3A3A"/>
                <w:sz w:val="19"/>
              </w:rPr>
              <w:t>$20,722</w:t>
            </w:r>
          </w:p>
        </w:tc>
        <w:tc>
          <w:tcPr>
            <w:tcW w:type="dxa" w:w="1512"/>
          </w:tcPr>
          <w:p>
            <w:r/>
            <w:r>
              <w:rPr>
                <w:rFonts w:ascii="Georgia" w:hAnsi="Georgia"/>
                <w:color w:val="3A3A3A"/>
                <w:sz w:val="19"/>
              </w:rPr>
              <w:t>44.6%</w:t>
            </w:r>
          </w:p>
        </w:tc>
        <w:tc>
          <w:tcPr>
            <w:tcW w:type="dxa" w:w="1512"/>
          </w:tcPr>
          <w:p>
            <w:r/>
            <w:r>
              <w:rPr>
                <w:rFonts w:ascii="Georgia" w:hAnsi="Georgia"/>
                <w:color w:val="3A3A3A"/>
                <w:sz w:val="19"/>
              </w:rPr>
              <w:t>31.6%</w:t>
            </w:r>
          </w:p>
        </w:tc>
        <w:tc>
          <w:tcPr>
            <w:tcW w:type="dxa" w:w="1512"/>
          </w:tcPr>
          <w:p>
            <w:r/>
            <w:r>
              <w:rPr>
                <w:rFonts w:ascii="Georgia" w:hAnsi="Georgia"/>
                <w:color w:val="3A3A3A"/>
                <w:sz w:val="19"/>
              </w:rPr>
              <w:t>-3.2</w:t>
            </w:r>
          </w:p>
        </w:tc>
        <w:tc>
          <w:tcPr>
            <w:tcW w:type="dxa" w:w="1512"/>
          </w:tcPr>
          <w:p>
            <w:r/>
            <w:r>
              <w:rPr>
                <w:rFonts w:ascii="Georgia" w:hAnsi="Georgia"/>
                <w:color w:val="3A3A3A"/>
                <w:sz w:val="19"/>
              </w:rPr>
              <w:t>-2.6</w:t>
            </w:r>
          </w:p>
        </w:tc>
      </w:tr>
      <w:tr>
        <w:tc>
          <w:tcPr>
            <w:tcW w:type="dxa" w:w="1512"/>
          </w:tcPr>
          <w:p>
            <w:r/>
            <w:r>
              <w:rPr>
                <w:rFonts w:ascii="Georgia" w:hAnsi="Georgia"/>
                <w:color w:val="3A3A3A"/>
                <w:sz w:val="19"/>
              </w:rPr>
              <w:t>Redmond SD 2J</w:t>
            </w:r>
          </w:p>
        </w:tc>
        <w:tc>
          <w:tcPr>
            <w:tcW w:type="dxa" w:w="1512"/>
          </w:tcPr>
          <w:p>
            <w:r/>
            <w:r>
              <w:rPr>
                <w:rFonts w:ascii="Georgia" w:hAnsi="Georgia"/>
                <w:color w:val="3A3A3A"/>
                <w:sz w:val="19"/>
              </w:rPr>
              <w:t>$20,739</w:t>
            </w:r>
          </w:p>
        </w:tc>
        <w:tc>
          <w:tcPr>
            <w:tcW w:type="dxa" w:w="1512"/>
          </w:tcPr>
          <w:p>
            <w:r/>
            <w:r>
              <w:rPr>
                <w:rFonts w:ascii="Georgia" w:hAnsi="Georgia"/>
                <w:color w:val="3A3A3A"/>
                <w:sz w:val="19"/>
              </w:rPr>
              <w:t>43.6%</w:t>
            </w:r>
          </w:p>
        </w:tc>
        <w:tc>
          <w:tcPr>
            <w:tcW w:type="dxa" w:w="1512"/>
          </w:tcPr>
          <w:p>
            <w:r/>
            <w:r>
              <w:rPr>
                <w:rFonts w:ascii="Georgia" w:hAnsi="Georgia"/>
                <w:color w:val="3A3A3A"/>
                <w:sz w:val="19"/>
              </w:rPr>
              <w:t>32.2%</w:t>
            </w:r>
          </w:p>
        </w:tc>
        <w:tc>
          <w:tcPr>
            <w:tcW w:type="dxa" w:w="1512"/>
          </w:tcPr>
          <w:p>
            <w:r/>
            <w:r>
              <w:rPr>
                <w:rFonts w:ascii="Georgia" w:hAnsi="Georgia"/>
                <w:color w:val="3A3A3A"/>
                <w:sz w:val="19"/>
              </w:rPr>
              <w:t>+1.7</w:t>
            </w:r>
          </w:p>
        </w:tc>
        <w:tc>
          <w:tcPr>
            <w:tcW w:type="dxa" w:w="1512"/>
          </w:tcPr>
          <w:p>
            <w:r/>
            <w:r>
              <w:rPr>
                <w:rFonts w:ascii="Georgia" w:hAnsi="Georgia"/>
                <w:color w:val="3A3A3A"/>
                <w:sz w:val="19"/>
              </w:rPr>
              <w:t>+3.5</w:t>
            </w:r>
          </w:p>
        </w:tc>
      </w:tr>
      <w:tr>
        <w:tc>
          <w:tcPr>
            <w:tcW w:type="dxa" w:w="1512"/>
          </w:tcPr>
          <w:p>
            <w:r/>
            <w:r>
              <w:rPr>
                <w:rFonts w:ascii="Georgia" w:hAnsi="Georgia"/>
                <w:color w:val="3A3A3A"/>
                <w:sz w:val="19"/>
              </w:rPr>
              <w:t>Corvallis SD 509J</w:t>
            </w:r>
          </w:p>
        </w:tc>
        <w:tc>
          <w:tcPr>
            <w:tcW w:type="dxa" w:w="1512"/>
          </w:tcPr>
          <w:p>
            <w:r/>
            <w:r>
              <w:rPr>
                <w:rFonts w:ascii="Georgia" w:hAnsi="Georgia"/>
                <w:color w:val="3A3A3A"/>
                <w:sz w:val="19"/>
              </w:rPr>
              <w:t>$27,641</w:t>
            </w:r>
          </w:p>
        </w:tc>
        <w:tc>
          <w:tcPr>
            <w:tcW w:type="dxa" w:w="1512"/>
          </w:tcPr>
          <w:p>
            <w:r/>
            <w:r>
              <w:rPr>
                <w:rFonts w:ascii="Georgia" w:hAnsi="Georgia"/>
                <w:color w:val="3A3A3A"/>
                <w:sz w:val="19"/>
              </w:rPr>
              <w:t>54.7%</w:t>
            </w:r>
          </w:p>
        </w:tc>
        <w:tc>
          <w:tcPr>
            <w:tcW w:type="dxa" w:w="1512"/>
          </w:tcPr>
          <w:p>
            <w:r/>
            <w:r>
              <w:rPr>
                <w:rFonts w:ascii="Georgia" w:hAnsi="Georgia"/>
                <w:color w:val="3A3A3A"/>
                <w:sz w:val="19"/>
              </w:rPr>
              <w:t>42.7%</w:t>
            </w:r>
          </w:p>
        </w:tc>
        <w:tc>
          <w:tcPr>
            <w:tcW w:type="dxa" w:w="1512"/>
          </w:tcPr>
          <w:p>
            <w:r/>
            <w:r>
              <w:rPr>
                <w:rFonts w:ascii="Georgia" w:hAnsi="Georgia"/>
                <w:color w:val="3A3A3A"/>
                <w:sz w:val="19"/>
              </w:rPr>
              <w:t>+7.5</w:t>
            </w:r>
          </w:p>
        </w:tc>
        <w:tc>
          <w:tcPr>
            <w:tcW w:type="dxa" w:w="1512"/>
          </w:tcPr>
          <w:p>
            <w:r/>
            <w:r>
              <w:rPr>
                <w:rFonts w:ascii="Georgia" w:hAnsi="Georgia"/>
                <w:color w:val="3A3A3A"/>
                <w:sz w:val="19"/>
              </w:rPr>
              <w:t>+8.1</w:t>
            </w:r>
          </w:p>
        </w:tc>
      </w:tr>
      <w:tr>
        <w:tc>
          <w:tcPr>
            <w:tcW w:type="dxa" w:w="1512"/>
          </w:tcPr>
          <w:p>
            <w:r/>
            <w:r>
              <w:rPr>
                <w:rFonts w:ascii="Georgia" w:hAnsi="Georgia"/>
                <w:color w:val="3A3A3A"/>
                <w:sz w:val="19"/>
              </w:rPr>
              <w:t>Oregon (district median)</w:t>
            </w:r>
          </w:p>
        </w:tc>
        <w:tc>
          <w:tcPr>
            <w:tcW w:type="dxa" w:w="1512"/>
          </w:tcPr>
          <w:p>
            <w:r/>
            <w:r>
              <w:rPr>
                <w:rFonts w:ascii="Georgia" w:hAnsi="Georgia"/>
                <w:color w:val="3A3A3A"/>
                <w:sz w:val="19"/>
              </w:rPr>
              <w:t>$23,373</w:t>
            </w:r>
          </w:p>
        </w:tc>
        <w:tc>
          <w:tcPr>
            <w:tcW w:type="dxa" w:w="1512"/>
          </w:tcPr>
          <w:p>
            <w:r/>
            <w:r>
              <w:rPr>
                <w:rFonts w:ascii="Georgia" w:hAnsi="Georgia"/>
                <w:color w:val="3A3A3A"/>
                <w:sz w:val="19"/>
              </w:rPr>
              <w:t>39.6%</w:t>
            </w:r>
          </w:p>
        </w:tc>
        <w:tc>
          <w:tcPr>
            <w:tcW w:type="dxa" w:w="1512"/>
          </w:tcPr>
          <w:p>
            <w:r/>
            <w:r>
              <w:rPr>
                <w:rFonts w:ascii="Georgia" w:hAnsi="Georgia"/>
                <w:color w:val="3A3A3A"/>
                <w:sz w:val="19"/>
              </w:rPr>
              <w:t>26.7%</w:t>
            </w:r>
          </w:p>
        </w:tc>
        <w:tc>
          <w:tcPr>
            <w:tcW w:type="dxa" w:w="1512"/>
          </w:tcPr>
          <w:p>
            <w:r/>
            <w:r>
              <w:rPr>
                <w:rFonts w:ascii="Georgia" w:hAnsi="Georgia"/>
                <w:color w:val="3A3A3A"/>
                <w:sz w:val="19"/>
              </w:rPr>
              <w:t>+0.0</w:t>
            </w:r>
          </w:p>
        </w:tc>
        <w:tc>
          <w:tcPr>
            <w:tcW w:type="dxa" w:w="1512"/>
          </w:tcPr>
          <w:p>
            <w:r/>
            <w:r>
              <w:rPr>
                <w:rFonts w:ascii="Georgia" w:hAnsi="Georgia"/>
                <w:color w:val="3A3A3A"/>
                <w:sz w:val="19"/>
              </w:rPr>
              <w:t>+0.0</w:t>
            </w:r>
          </w:p>
        </w:tc>
      </w:tr>
    </w:tbl>
    <w:p>
      <w:pPr>
        <w:spacing w:after="200"/>
      </w:pPr>
      <w:r>
        <w:rPr>
          <w:rFonts w:ascii="Georgia" w:hAnsi="Georgia"/>
          <w:b w:val="0"/>
          <w:i/>
          <w:color w:val="6B6B6B"/>
          <w:sz w:val="18"/>
        </w:rPr>
        <w:t>Source: ODE Fiscal Transparency FY23-24 Actual Expenditure; ODE Fall Membership 2024-25; oregon_districts_v1_5.parquet.</w:t>
      </w:r>
    </w:p>
    <w:p>
      <w:pPr>
        <w:pStyle w:val="Heading2"/>
      </w:pPr>
      <w:r>
        <w:t>Personnel share of operating expenditures</w:t>
      </w:r>
    </w:p>
    <w:p>
      <w:pPr>
        <w:spacing w:after="120"/>
      </w:pPr>
      <w:r>
        <w:rPr>
          <w:rFonts w:ascii="Georgia" w:hAnsi="Georgia"/>
          <w:b w:val="0"/>
          <w:i w:val="0"/>
          <w:color w:val="3A3A3A"/>
          <w:sz w:val="22"/>
        </w:rPr>
        <w:t>On the General Fund operating basis (FY2024-25 ACFR pp.106-114), salaries plus employee benefits equal approximately 77% of Total Governmental Funds operating expenditures — that is, total expenditures less debt service less capital outlay. On the prior-year operating basis derived from the Oregon-internal pipeline (instruction plus support services, FY24 statewide actuals), the same district reads 84%. The Oregon district median on the operating-only basis is 75% (n = 191 districts, inter-quartile range 67%-80%; computed from oregon_districts_v1_5.csv).</w:t>
      </w:r>
    </w:p>
    <w:p>
      <w:pPr>
        <w:spacing w:after="120"/>
      </w:pPr>
      <w:r>
        <w:rPr>
          <w:rFonts w:ascii="Georgia" w:hAnsi="Georgia"/>
          <w:b w:val="0"/>
          <w:i w:val="0"/>
          <w:color w:val="3A3A3A"/>
          <w:sz w:val="22"/>
        </w:rPr>
        <w:t>Bend-La Pine sits in the upper part of the Oregon distribution. The appropriate framing is descriptive: this is a personnel-intensive district, typical for Oregon, where instruction is delivered primarily through teaching staff rather than purchased services or equipment. No 'above norm' or 'below norm' claim is warranted.</w:t>
      </w:r>
    </w:p>
    <w:p>
      <w:pPr>
        <w:spacing w:before="120" w:after="200"/>
        <w:ind w:left="360"/>
        <w:pBdr>
          <w:left w:val="single" w:sz="18" w:color="C8553D"/>
        </w:pBdr>
      </w:pPr>
      <w:r>
        <w:rPr>
          <w:rFonts w:ascii="Georgia" w:hAnsi="Georgia"/>
          <w:i/>
          <w:color w:val="3A3A3A"/>
          <w:sz w:val="21"/>
        </w:rPr>
        <w:t>Why earlier drafts cited 63.1%. An internal pipeline number divided personnel by total expenditures (which include debt service and capital outlay). With the 2022 bond proceeds actively being drawn down for construction, that denominator is inflated and depresses the ratio. The Oregon statewide median on the same inflated basis (59.5%) was depressed for the same reason. Both numbers are arithmetically correct against the v1.5 dataset, but the comparison they invite is not apples-to-apples. The 77% / 84% figures above use an operating-only denominator and are directly comparable across districts.</w:t>
      </w:r>
    </w:p>
    <w:p>
      <w:pPr>
        <w:pStyle w:val="Heading2"/>
      </w:pPr>
      <w:r>
        <w:t>The bond stack</w:t>
      </w:r>
    </w:p>
    <w:p>
      <w:pPr>
        <w:spacing w:after="120"/>
      </w:pPr>
      <w:r>
        <w:rPr>
          <w:rFonts w:ascii="Georgia" w:hAnsi="Georgia"/>
          <w:b w:val="0"/>
          <w:i w:val="0"/>
          <w:color w:val="3A3A3A"/>
          <w:sz w:val="22"/>
        </w:rPr>
        <w:t>Since 2013, Bend-La Pine has issued seven general obligation bond series totalling approximately $771.7 million in par value. New-money issues sum to $609.83 million; refunding issues (which replace earlier debt and do not fund new capital projects) sum to $161.84 million.</w:t>
      </w:r>
    </w:p>
    <w:p>
      <w:pPr>
        <w:spacing w:after="80"/>
      </w:pPr>
      <w:r>
        <w:rPr>
          <w:rFonts w:ascii="Georgia" w:hAnsi="Georgia"/>
          <w:b w:val="0"/>
          <w:i w:val="0"/>
          <w:color w:val="3A3A3A"/>
          <w:sz w:val="22"/>
        </w:rPr>
        <w:t>Series detail, by issue date:</w:t>
      </w:r>
    </w:p>
    <w:p>
      <w:pPr>
        <w:pStyle w:val="ListBullet"/>
        <w:spacing w:after="80"/>
      </w:pPr>
      <w:r>
        <w:rPr>
          <w:rFonts w:ascii="Georgia" w:hAnsi="Georgia"/>
          <w:color w:val="3A3A3A"/>
          <w:sz w:val="22"/>
        </w:rPr>
        <w:t xml:space="preserve">  Series 2013A Refunding (2013-02): $81.05M par — GO Refunding; Refunding.</w:t>
      </w:r>
    </w:p>
    <w:p>
      <w:pPr>
        <w:pStyle w:val="ListBullet"/>
        <w:spacing w:after="80"/>
      </w:pPr>
      <w:r>
        <w:rPr>
          <w:rFonts w:ascii="Georgia" w:hAnsi="Georgia"/>
          <w:color w:val="3A3A3A"/>
          <w:sz w:val="22"/>
        </w:rPr>
        <w:t xml:space="preserve">  Series 2013B (2013-07): $91.83M par — GO New Money; Capital (2013 auth).</w:t>
      </w:r>
    </w:p>
    <w:p>
      <w:pPr>
        <w:pStyle w:val="ListBullet"/>
        <w:spacing w:after="80"/>
      </w:pPr>
      <w:r>
        <w:rPr>
          <w:rFonts w:ascii="Georgia" w:hAnsi="Georgia"/>
          <w:color w:val="3A3A3A"/>
          <w:sz w:val="22"/>
        </w:rPr>
        <w:t xml:space="preserve">  Series 2017 (2017-08): $175.00M par — GO New Money; Capital (2017 voter auth).</w:t>
      </w:r>
    </w:p>
    <w:p>
      <w:pPr>
        <w:pStyle w:val="ListBullet"/>
        <w:spacing w:after="80"/>
      </w:pPr>
      <w:r>
        <w:rPr>
          <w:rFonts w:ascii="Georgia" w:hAnsi="Georgia"/>
          <w:color w:val="3A3A3A"/>
          <w:sz w:val="22"/>
        </w:rPr>
        <w:t xml:space="preserve">  Series 2019 (2019-07): $93.30M par — GO New Money; Capital.</w:t>
      </w:r>
    </w:p>
    <w:p>
      <w:pPr>
        <w:pStyle w:val="ListBullet"/>
        <w:spacing w:after="80"/>
      </w:pPr>
      <w:r>
        <w:rPr>
          <w:rFonts w:ascii="Georgia" w:hAnsi="Georgia"/>
          <w:color w:val="3A3A3A"/>
          <w:sz w:val="22"/>
        </w:rPr>
        <w:t xml:space="preserve">  Series 2021 Refunding (2021-11): $80.80M par — GO Refunding (Taxable); Refunding.</w:t>
      </w:r>
    </w:p>
    <w:p>
      <w:pPr>
        <w:pStyle w:val="ListBullet"/>
        <w:spacing w:after="80"/>
      </w:pPr>
      <w:r>
        <w:rPr>
          <w:rFonts w:ascii="Georgia" w:hAnsi="Georgia"/>
          <w:color w:val="3A3A3A"/>
          <w:sz w:val="22"/>
        </w:rPr>
        <w:t xml:space="preserve">  Series 2023 (2023-02): $100.00M par — GO New Money; Tranche 1 of 2022 $249.7M auth.</w:t>
      </w:r>
    </w:p>
    <w:p>
      <w:pPr>
        <w:pStyle w:val="ListBullet"/>
        <w:spacing w:after="80"/>
      </w:pPr>
      <w:r>
        <w:rPr>
          <w:rFonts w:ascii="Georgia" w:hAnsi="Georgia"/>
          <w:color w:val="3A3A3A"/>
          <w:sz w:val="22"/>
        </w:rPr>
        <w:t xml:space="preserve">  Series 2025 (2025-06): $149.70M par — GO New Money; Tranche 2 of 2022 $249.7M auth.</w:t>
      </w:r>
    </w:p>
    <w:p>
      <w:pPr>
        <w:spacing w:after="120"/>
      </w:pPr>
      <w:r>
        <w:rPr>
          <w:rFonts w:ascii="Georgia" w:hAnsi="Georgia"/>
          <w:b w:val="0"/>
          <w:i w:val="0"/>
          <w:color w:val="3A3A3A"/>
          <w:sz w:val="22"/>
        </w:rPr>
        <w:t>The 2022 voter authorization of $249.7 million was issued in two tranches: $100.0 million as Series 2023 and $149.7 million as Series 2025. The two sum to the exact authorized amount. Two tranches summing to the precise authorization is unusual — districts typically retain some unissued capacity to preserve fiscal flexibility. The 2022 bond stack is now fully drawn.</w:t>
      </w:r>
    </w:p>
    <w:p>
      <w:pPr>
        <w:spacing w:after="200"/>
      </w:pPr>
      <w:r>
        <w:rPr>
          <w:rFonts w:ascii="Georgia" w:hAnsi="Georgia"/>
          <w:b w:val="0"/>
          <w:i/>
          <w:color w:val="6B6B6B"/>
          <w:sz w:val="18"/>
        </w:rPr>
        <w:t>Source: EMMA Official Statements 2013-02 through 2025-06 (7 PDFs); par values from cover pages.</w:t>
      </w:r>
    </w:p>
    <w:p>
      <w:r>
        <w:br w:type="page"/>
      </w:r>
    </w:p>
    <w:p>
      <w:pPr>
        <w:pStyle w:val="Heading1"/>
      </w:pPr>
      <w:r>
        <w:t>3. The outcomes</w:t>
      </w:r>
    </w:p>
    <w:p>
      <w:pPr>
        <w:pStyle w:val="Heading2"/>
      </w:pPr>
      <w:r>
        <w:t>2024-25 SBAC raw results</w:t>
      </w:r>
    </w:p>
    <w:p>
      <w:pPr>
        <w:spacing w:after="120"/>
      </w:pPr>
      <w:r>
        <w:rPr>
          <w:rFonts w:ascii="Georgia" w:hAnsi="Georgia"/>
          <w:b w:val="0"/>
          <w:i w:val="0"/>
          <w:color w:val="3A3A3A"/>
          <w:sz w:val="22"/>
        </w:rPr>
        <w:t>Bend-La Pine's 2024-25 Smarter Balanced pass rates (ODE PAGR district rollup, all grades, all students) were 53.0% meets-or-exceeds in ELA and 41.9% in math. Statewide medians were 39.6% (ELA) and 26.7% (math). The district is well above the Oregon median on raw proficiency in both subjects.</w:t>
      </w:r>
    </w:p>
    <w:p>
      <w:pPr>
        <w:pStyle w:val="Heading2"/>
      </w:pPr>
      <w:r>
        <w:t>Demographically-adjusted residuals</w:t>
      </w:r>
    </w:p>
    <w:p>
      <w:pPr>
        <w:spacing w:after="120"/>
      </w:pPr>
      <w:r>
        <w:rPr>
          <w:rFonts w:ascii="Georgia" w:hAnsi="Georgia"/>
          <w:b w:val="0"/>
          <w:i w:val="0"/>
          <w:color w:val="3A3A3A"/>
          <w:sz w:val="22"/>
        </w:rPr>
        <w:t>Raw proficiency rates do not control for the demographic composition of the student body served. To make the cross-district comparison fair, we fit an Oregon-internal ordinary least squares regression of SBAC proficiency on demographic composition — poverty share, IEP share, English-learner share, and race shares (with white as the omitted reference). One fit per subject, estimated on the 185 districts that report all variables. The residual — actual minus predicted — measures how far the district diverges from what its demographic composition alone would predict.</w:t>
      </w:r>
    </w:p>
    <w:p>
      <w:pPr>
        <w:spacing w:after="120"/>
      </w:pPr>
      <w:r>
        <w:rPr>
          <w:rFonts w:ascii="Georgia" w:hAnsi="Georgia"/>
          <w:b w:val="0"/>
          <w:i w:val="0"/>
          <w:color w:val="3A3A3A"/>
          <w:sz w:val="22"/>
        </w:rPr>
        <w:t>Fit diagnostics (2026-05-16 run): n = 185 districts per subject; ELA R² = 0.42; math R² = 0.40. Demographic composition explains roughly 40% of cross-district variance in SBAC proficiency; the other 60% is the residual — bundling district practice, leadership, curriculum, geography, and noise.</w:t>
      </w:r>
    </w:p>
    <w:p>
      <w:pPr>
        <w:spacing w:after="120"/>
      </w:pPr>
      <w:r>
        <w:rPr>
          <w:rFonts w:ascii="Georgia" w:hAnsi="Georgia"/>
          <w:b w:val="0"/>
          <w:i w:val="0"/>
          <w:color w:val="3A3A3A"/>
          <w:sz w:val="22"/>
        </w:rPr>
        <w:t>Bend-La Pine's residuals: +4.5 pp in ELA (53.0% observed vs. ~48.5% predicted) and +7.9 pp in math (41.9% observed vs. ~34.0% predicted). Both are positive and material. The math residual is the larger of the two and is the headline finding of this report.</w:t>
      </w:r>
    </w:p>
    <w:p>
      <w:pPr>
        <w:pStyle w:val="Heading2"/>
      </w:pPr>
      <w:r>
        <w:t>Peer-district residuals</w:t>
      </w:r>
    </w:p>
    <w:p>
      <w:pPr>
        <w:spacing w:after="120"/>
      </w:pPr>
      <w:r>
        <w:rPr>
          <w:rFonts w:ascii="Georgia" w:hAnsi="Georgia"/>
          <w:b w:val="0"/>
          <w:i w:val="0"/>
          <w:color w:val="3A3A3A"/>
          <w:sz w:val="22"/>
        </w:rPr>
        <w:t>Among the six algorithmic peers, residuals span both signs: Corvallis (+7.5 ELA / +8.1 math) and West Linn-Wilsonville (+3.5 / +6.7) over-perform their demographic prediction; Oregon City (-3.2 / -2.6) and Tigard-Tualatin (-2.7 / -3.6) under-perform; Eugene (+2.1 / +2.6) and Redmond (+1.7 / +3.5) are modestly positive. Bend-La Pine's math residual is the largest in the peer set; its ELA residual is mid-pack.</w:t>
      </w:r>
    </w:p>
    <w:p>
      <w:pPr>
        <w:pStyle w:val="Heading2"/>
      </w:pPr>
      <w:r>
        <w:t>State-level NAEP context</w:t>
      </w:r>
    </w:p>
    <w:p>
      <w:pPr>
        <w:spacing w:after="120"/>
      </w:pPr>
      <w:r>
        <w:rPr>
          <w:rFonts w:ascii="Georgia" w:hAnsi="Georgia"/>
          <w:b w:val="0"/>
          <w:i w:val="0"/>
          <w:color w:val="3A3A3A"/>
          <w:sz w:val="22"/>
        </w:rPr>
        <w:t>On the 2024 National Assessment of Educational Progress — The Nation's Report Card — Oregon ranked 48th in 4th-grade math, 46th in 4th-grade reading, 38th in 8th-grade math, and 31st in 8th-grade reading. Per-pupil spending in Oregon runs in the upper half of states. The combination — bottom-quintile elementary outcomes with upper-half spending — is the state-level fact that motivates a district-level demographic-adjustment framework like this one.</w:t>
      </w:r>
    </w:p>
    <w:p>
      <w:pPr>
        <w:spacing w:before="120" w:after="200"/>
        <w:ind w:left="360"/>
        <w:pBdr>
          <w:left w:val="single" w:sz="18" w:color="C8553D"/>
        </w:pBdr>
      </w:pPr>
      <w:r>
        <w:rPr>
          <w:rFonts w:ascii="Georgia" w:hAnsi="Georgia"/>
          <w:i/>
          <w:color w:val="3A3A3A"/>
          <w:sz w:val="21"/>
        </w:rPr>
        <w:t>These ranks are unadjusted. Demographically-adjusted state ranks (the Urban Institute methodology that controls for poverty, race, English-learner share, and special-education status) are not yet available for the 2024 NAEP cycle; Urban's public 'America's Gradebook' tool was last updated for the 2019 cycle. We will refresh this section when Urban republishes against 2024 microdata. Bend-La Pine's district-level residual is independent of the Urban analysis and is sourced from Oregon's own panel.</w:t>
      </w:r>
    </w:p>
    <w:p>
      <w:r>
        <w:br w:type="page"/>
      </w:r>
    </w:p>
    <w:p>
      <w:pPr>
        <w:pStyle w:val="Heading1"/>
      </w:pPr>
      <w:r>
        <w:t>4. Fiscal transparency rubric</w:t>
      </w:r>
    </w:p>
    <w:p>
      <w:pPr>
        <w:spacing w:after="120"/>
      </w:pPr>
      <w:r>
        <w:rPr>
          <w:rFonts w:ascii="Georgia" w:hAnsi="Georgia"/>
          <w:b w:val="0"/>
          <w:i w:val="0"/>
          <w:color w:val="3A3A3A"/>
          <w:sz w:val="22"/>
        </w:rPr>
        <w:t>Spending well is half the question; reporting it transparently is the other half. We scored Bend-La Pine on five items a citizen might reasonably expect a school district to publish. The rubric is a citizen-discoverability test: can a resident find the artifact from the district homepage in fewer than three clicks? — supplemented by direct inspection of the FY2024-25 ACFR.</w:t>
      </w:r>
    </w:p>
    <w:p>
      <w:pPr>
        <w:spacing w:after="120"/>
      </w:pPr>
      <w:r>
        <w:rPr>
          <w:rFonts w:ascii="Georgia" w:hAnsi="Georgia"/>
          <w:b w:val="0"/>
          <w:i w:val="0"/>
          <w:color w:val="3A3A3A"/>
          <w:sz w:val="22"/>
        </w:rPr>
        <w:t>Result: 2 of 5 items meet best practice (green); 3 are partial or inconsistent (yellow); none fail (red).</w:t>
      </w:r>
    </w:p>
    <w:p>
      <w:pPr>
        <w:spacing w:after="40"/>
      </w:pPr>
      <w:r>
        <w:rPr>
          <w:rFonts w:ascii="Georgia" w:hAnsi="Georgia"/>
          <w:b/>
          <w:i w:val="0"/>
          <w:color w:val="1A1A1A"/>
          <w:sz w:val="22"/>
        </w:rPr>
        <w:t>GREEN — ACFR published within 180 days of fiscal year-end</w:t>
      </w:r>
    </w:p>
    <w:p>
      <w:pPr>
        <w:spacing w:after="160"/>
      </w:pPr>
      <w:r>
        <w:rPr>
          <w:rFonts w:ascii="Georgia" w:hAnsi="Georgia"/>
          <w:b w:val="0"/>
          <w:i w:val="0"/>
          <w:color w:val="3A3A3A"/>
          <w:sz w:val="21"/>
        </w:rPr>
        <w:t>FY2024-25 Annual Report posted on the district budget page; independent auditor's opinion is dated December 12, 2025 (165 days after the June 30, 2025 fiscal year-end). Source: 2024-25_Annual_Report.pdf, p.26.</w:t>
      </w:r>
    </w:p>
    <w:p>
      <w:pPr>
        <w:spacing w:after="40"/>
      </w:pPr>
      <w:r>
        <w:rPr>
          <w:rFonts w:ascii="Georgia" w:hAnsi="Georgia"/>
          <w:b/>
          <w:i w:val="0"/>
          <w:color w:val="1A1A1A"/>
          <w:sz w:val="22"/>
        </w:rPr>
        <w:t>YELLOW — Adopted budget published in machine-readable format</w:t>
      </w:r>
    </w:p>
    <w:p>
      <w:pPr>
        <w:spacing w:after="160"/>
      </w:pPr>
      <w:r>
        <w:rPr>
          <w:rFonts w:ascii="Georgia" w:hAnsi="Georgia"/>
          <w:b w:val="0"/>
          <w:i w:val="0"/>
          <w:color w:val="3A3A3A"/>
          <w:sz w:val="21"/>
        </w:rPr>
        <w:t>Adopted budgets for FY24, FY25, FY26 and the FY27 proposed budget are posted as searchable PDFs (selectable text confirmed); a one-page 'At A Glance' PDF accompanies each. No XLSX/CSV export is available. Partial credit: human-readable yes, structured data no.</w:t>
      </w:r>
    </w:p>
    <w:p>
      <w:pPr>
        <w:spacing w:after="40"/>
      </w:pPr>
      <w:r>
        <w:rPr>
          <w:rFonts w:ascii="Georgia" w:hAnsi="Georgia"/>
          <w:b/>
          <w:i w:val="0"/>
          <w:color w:val="1A1A1A"/>
          <w:sz w:val="22"/>
        </w:rPr>
        <w:t>YELLOW — Public bond expenditure reports current</w:t>
      </w:r>
    </w:p>
    <w:p>
      <w:pPr>
        <w:spacing w:after="160"/>
      </w:pPr>
      <w:r>
        <w:rPr>
          <w:rFonts w:ascii="Georgia" w:hAnsi="Georgia"/>
          <w:b w:val="0"/>
          <w:i w:val="0"/>
          <w:color w:val="3A3A3A"/>
          <w:sz w:val="21"/>
        </w:rPr>
        <w:t>The 2022 Bond Management Plan is posted, and project-level narratives describe progress on Bend Senior High Modernization, Buckingham Elementary, Sky View Middle, and completed safety/capital work. No quarterly bond-expenditure-to-date schedule (dollars issued vs. dollars spent by project) is linked from this page. The expenditure detail exists inside the ACFR Capital Projects Fund (FY25 ACFR p.113) but is not republished as a stand-alone citizen-facing report.</w:t>
      </w:r>
    </w:p>
    <w:p>
      <w:pPr>
        <w:spacing w:after="40"/>
      </w:pPr>
      <w:r>
        <w:rPr>
          <w:rFonts w:ascii="Georgia" w:hAnsi="Georgia"/>
          <w:b/>
          <w:i w:val="0"/>
          <w:color w:val="1A1A1A"/>
          <w:sz w:val="22"/>
        </w:rPr>
        <w:t>GREEN — Board financial reports posted with line-item detail</w:t>
      </w:r>
    </w:p>
    <w:p>
      <w:pPr>
        <w:spacing w:after="160"/>
      </w:pPr>
      <w:r>
        <w:rPr>
          <w:rFonts w:ascii="Georgia" w:hAnsi="Georgia"/>
          <w:b w:val="0"/>
          <w:i w:val="0"/>
          <w:color w:val="3A3A3A"/>
          <w:sz w:val="21"/>
        </w:rPr>
        <w:t>Board uses BoardBook Premier for agendas, packets, and minutes; meetings are streamed on YouTube. The board's monthly review pattern includes the full ACFR (187 pages, FY25) and budget committee packets. Line-item detail is present via the ACFR Schedule of Expenditures by Function/Object (FY25 ACFR pp.106-114).</w:t>
      </w:r>
    </w:p>
    <w:p>
      <w:pPr>
        <w:spacing w:after="40"/>
      </w:pPr>
      <w:r>
        <w:rPr>
          <w:rFonts w:ascii="Georgia" w:hAnsi="Georgia"/>
          <w:b/>
          <w:i w:val="0"/>
          <w:color w:val="1A1A1A"/>
          <w:sz w:val="22"/>
        </w:rPr>
        <w:t>YELLOW — ESSA per-pupil expenditure by school published</w:t>
      </w:r>
    </w:p>
    <w:p>
      <w:pPr>
        <w:spacing w:after="160"/>
      </w:pPr>
      <w:r>
        <w:rPr>
          <w:rFonts w:ascii="Georgia" w:hAnsi="Georgia"/>
          <w:b w:val="0"/>
          <w:i w:val="0"/>
          <w:color w:val="3A3A3A"/>
          <w:sz w:val="21"/>
        </w:rPr>
        <w:t>ESSA per-school per-pupil spending is published statewide by ODE on each school's At-A-Glance report card. Bend-La Pine's district financial-information pages do not republish or link directly to those per-school figures; a citizen must navigate ODE's portal per school. Federally compliant via ODE; district-site discoverability is weak.</w:t>
      </w:r>
    </w:p>
    <w:p>
      <w:pPr>
        <w:spacing w:after="200"/>
      </w:pPr>
      <w:r>
        <w:rPr>
          <w:rFonts w:ascii="Georgia" w:hAnsi="Georgia"/>
          <w:b w:val="0"/>
          <w:i/>
          <w:color w:val="6B6B6B"/>
          <w:sz w:val="19"/>
        </w:rPr>
        <w:t>Items verified 2026-05-17 against blschools.org and the FY2024-25 Annual Report (local copy at D:/Documents/Bend-La Pine/Annual Reports/2024-25_Annual_Report.pdf).</w:t>
      </w:r>
    </w:p>
    <w:p>
      <w:r>
        <w:br w:type="page"/>
      </w:r>
    </w:p>
    <w:p>
      <w:pPr>
        <w:pStyle w:val="Heading1"/>
      </w:pPr>
      <w:r>
        <w:t>5. What it means, and open questions</w:t>
      </w:r>
    </w:p>
    <w:p>
      <w:pPr>
        <w:spacing w:after="120"/>
      </w:pPr>
      <w:r>
        <w:rPr>
          <w:rFonts w:ascii="Georgia" w:hAnsi="Georgia"/>
          <w:b w:val="0"/>
          <w:i w:val="0"/>
          <w:color w:val="3A3A3A"/>
          <w:sz w:val="22"/>
        </w:rPr>
        <w:t>Bend-La Pine spends near the Oregon median per pupil — below every one of its demographic peers and below the statewide district median — and delivers SBAC outcomes that are well above what its demographic composition predicts. That is the finding. The appropriate interpretive frame is descriptive, not causal.</w:t>
      </w:r>
    </w:p>
    <w:p>
      <w:pPr>
        <w:pStyle w:val="Heading2"/>
      </w:pPr>
      <w:r>
        <w:t>What this report does not claim</w:t>
      </w:r>
    </w:p>
    <w:p>
      <w:pPr>
        <w:pStyle w:val="ListBullet"/>
        <w:spacing w:after="80"/>
      </w:pPr>
      <w:r>
        <w:rPr>
          <w:rFonts w:ascii="Georgia" w:hAnsi="Georgia"/>
          <w:b/>
          <w:color w:val="1A1A1A"/>
          <w:sz w:val="22"/>
        </w:rPr>
        <w:t>Not a causal estimate.</w:t>
      </w:r>
      <w:r>
        <w:rPr>
          <w:rFonts w:ascii="Georgia" w:hAnsi="Georgia"/>
          <w:color w:val="3A3A3A"/>
          <w:sz w:val="22"/>
        </w:rPr>
        <w:t xml:space="preserve"> The positive residual is a flag, not a verdict. A district with a positive residual may differ from peers in unobserved ways — leadership tenure, geographic isolation, historical funding shocks, cohort effects, prior-year interventions — that load onto the residual alongside any current district practice. The cross-section cannot separate them.</w:t>
      </w:r>
    </w:p>
    <w:p>
      <w:pPr>
        <w:pStyle w:val="ListBullet"/>
        <w:spacing w:after="80"/>
      </w:pPr>
      <w:r>
        <w:rPr>
          <w:rFonts w:ascii="Georgia" w:hAnsi="Georgia"/>
          <w:b/>
          <w:color w:val="1A1A1A"/>
          <w:sz w:val="22"/>
        </w:rPr>
        <w:t>Not a spending recommendation.</w:t>
      </w:r>
      <w:r>
        <w:rPr>
          <w:rFonts w:ascii="Georgia" w:hAnsi="Georgia"/>
          <w:color w:val="3A3A3A"/>
          <w:sz w:val="22"/>
        </w:rPr>
        <w:t xml:space="preserve"> Spending less is not shown to cause outcomes. The data are consistent with that hypothesis and inconsistent with the reverse (spend more, get more) within this peer set, but neither direction is identified causally.</w:t>
      </w:r>
    </w:p>
    <w:p>
      <w:pPr>
        <w:pStyle w:val="ListBullet"/>
        <w:spacing w:after="80"/>
      </w:pPr>
      <w:r>
        <w:rPr>
          <w:rFonts w:ascii="Georgia" w:hAnsi="Georgia"/>
          <w:b/>
          <w:color w:val="1A1A1A"/>
          <w:sz w:val="22"/>
        </w:rPr>
        <w:t>Not a grade.</w:t>
      </w:r>
      <w:r>
        <w:rPr>
          <w:rFonts w:ascii="Georgia" w:hAnsi="Georgia"/>
          <w:color w:val="3A3A3A"/>
          <w:sz w:val="22"/>
        </w:rPr>
        <w:t xml:space="preserve"> The report is not a 'report card' in the SDCTA sense. No letter grades are assigned. Bend-La Pine is compared to algorithmic peers, not graded against a fixed standard.</w:t>
      </w:r>
    </w:p>
    <w:p>
      <w:pPr>
        <w:pStyle w:val="Heading2"/>
      </w:pPr>
      <w:r>
        <w:t>Open questions for civic follow-up</w:t>
      </w:r>
    </w:p>
    <w:p>
      <w:pPr>
        <w:pStyle w:val="ListBullet"/>
        <w:spacing w:after="80"/>
      </w:pPr>
      <w:r>
        <w:rPr>
          <w:rFonts w:ascii="Georgia" w:hAnsi="Georgia"/>
          <w:b/>
          <w:color w:val="1A1A1A"/>
          <w:sz w:val="22"/>
        </w:rPr>
        <w:t>Bond execution accountability.</w:t>
      </w:r>
      <w:r>
        <w:rPr>
          <w:rFonts w:ascii="Georgia" w:hAnsi="Georgia"/>
          <w:color w:val="3A3A3A"/>
          <w:sz w:val="22"/>
        </w:rPr>
        <w:t xml:space="preserve"> $249.7 million was authorized in 2022 and is now fully issued. Where the money has gone, project by project, is currently disclosed in narrative form on blschools.org and in line-item form inside the ACFR Capital Projects Fund (FY25 ACFR p.113). A stand-alone quarterly bond-expenditure schedule republished as a citizen-facing report would close the largest yellow item on the transparency rubric.</w:t>
      </w:r>
    </w:p>
    <w:p>
      <w:pPr>
        <w:pStyle w:val="ListBullet"/>
        <w:spacing w:after="80"/>
      </w:pPr>
      <w:r>
        <w:rPr>
          <w:rFonts w:ascii="Georgia" w:hAnsi="Georgia"/>
          <w:b/>
          <w:color w:val="1A1A1A"/>
          <w:sz w:val="22"/>
        </w:rPr>
        <w:t>Peer-set review.</w:t>
      </w:r>
      <w:r>
        <w:rPr>
          <w:rFonts w:ascii="Georgia" w:hAnsi="Georgia"/>
          <w:color w:val="3A3A3A"/>
          <w:sz w:val="22"/>
        </w:rPr>
        <w:t xml:space="preserve"> The peer set was selected algorithmically. A professional review of which districts are the right comparables — and whether the demographic vector should include geographic isolation or rural-vs-urban character — would strengthen the peer benchmark.</w:t>
      </w:r>
    </w:p>
    <w:p>
      <w:pPr>
        <w:pStyle w:val="ListBullet"/>
        <w:spacing w:after="80"/>
      </w:pPr>
      <w:r>
        <w:rPr>
          <w:rFonts w:ascii="Georgia" w:hAnsi="Georgia"/>
          <w:b/>
          <w:color w:val="1A1A1A"/>
          <w:sz w:val="22"/>
        </w:rPr>
        <w:t>Methodology v2.</w:t>
      </w:r>
      <w:r>
        <w:rPr>
          <w:rFonts w:ascii="Georgia" w:hAnsi="Georgia"/>
          <w:color w:val="3A3A3A"/>
          <w:sz w:val="22"/>
        </w:rPr>
        <w:t xml:space="preserve"> The v1.5 specification is cross-sectional. A v2 two-way fixed-effects panel over 2021-22 through 2024-25 would absorb statewide shocks (COVID dip, ESSER cliff) and time-invariant district characteristics, sharpening the residual's interpretation. See the methodology appendix for the proposed v2 design.</w:t>
      </w:r>
    </w:p>
    <w:p>
      <w:pPr>
        <w:pStyle w:val="Heading2"/>
      </w:pPr>
      <w:r>
        <w:t>Why this matters statewide</w:t>
      </w:r>
    </w:p>
    <w:p>
      <w:pPr>
        <w:spacing w:after="120"/>
      </w:pPr>
      <w:r>
        <w:rPr>
          <w:rFonts w:ascii="Georgia" w:hAnsi="Georgia"/>
          <w:b w:val="0"/>
          <w:i w:val="0"/>
          <w:color w:val="3A3A3A"/>
          <w:sz w:val="22"/>
        </w:rPr>
        <w:t>Oregon's K-12 system spends adequately and underperforms — both political camps acknowledge that. The analytical product missing from the public debate is a defensible, demographically-aware accountability framework at the district level. Urban Institute covers the state level; Canopy is the district-level companion. Bend-La Pine is the pilot. The framework scales to all ~197 Oregon districts and is the basis for a forthcoming statewide analysis.</w:t>
      </w:r>
    </w:p>
    <w:p>
      <w:r>
        <w:br w:type="page"/>
      </w:r>
    </w:p>
    <w:p>
      <w:pPr>
        <w:pStyle w:val="Heading1"/>
      </w:pPr>
      <w:r>
        <w:t>Appendix A — Methodology</w:t>
      </w:r>
    </w:p>
    <w:p>
      <w:pPr>
        <w:spacing w:after="120"/>
      </w:pPr>
      <w:r>
        <w:rPr>
          <w:rFonts w:ascii="Georgia" w:hAnsi="Georgia"/>
          <w:b w:val="0"/>
          <w:i w:val="0"/>
          <w:color w:val="3A3A3A"/>
          <w:sz w:val="22"/>
        </w:rPr>
        <w:t>The following is a condensed statement of the v1.5 specification. The full document, with section numbering and code references, is at D:/code/oregon-edu-pipeline/docs/METHODOLOGY.md.</w:t>
      </w:r>
    </w:p>
    <w:p>
      <w:pPr>
        <w:pStyle w:val="Heading2"/>
      </w:pPr>
      <w:r>
        <w:t>A.1 Estimand</w:t>
      </w:r>
    </w:p>
    <w:p>
      <w:pPr>
        <w:spacing w:after="120"/>
      </w:pPr>
      <w:r>
        <w:rPr>
          <w:rFonts w:ascii="Georgia" w:hAnsi="Georgia"/>
          <w:b w:val="0"/>
          <w:i w:val="0"/>
          <w:color w:val="3A3A3A"/>
          <w:sz w:val="22"/>
        </w:rPr>
        <w:t>For each district i and subject s ∈ {ELA, math}, the residual is yᵢ,ₛ − ŷᵢ,ₛ, where y is the observed share of students rated 'Meets or Exceeds' on 2024-25 SBAC (all grades) and ŷ is the subject-specific OLS prediction at district i's demographic vector. Both are on the 0-100 percentage-point scale.</w:t>
      </w:r>
    </w:p>
    <w:p>
      <w:pPr>
        <w:pStyle w:val="Heading2"/>
      </w:pPr>
      <w:r>
        <w:t>A.2 Sample</w:t>
      </w:r>
    </w:p>
    <w:p>
      <w:pPr>
        <w:spacing w:after="120"/>
      </w:pPr>
      <w:r>
        <w:rPr>
          <w:rFonts w:ascii="Georgia" w:hAnsi="Georgia"/>
          <w:b w:val="0"/>
          <w:i w:val="0"/>
          <w:color w:val="3A3A3A"/>
          <w:sz w:val="22"/>
        </w:rPr>
        <w:t>Frame: Oregon public-school LEAs, SY 2024-25 (NCES CCD). Outcomes: ODE PAGR district rollup, school year 2024-25, grade row 'All Grades', student group 'Total Population (All Students)', metric pct_meets_or_above. Demographics: NCES CCD Membership SY 2024-25 (race, enrollment) merged with ODE Spring Enrollment SY 2024-25 (poverty, IEP, EL). Listwise deletion on regressors and outcome. Realised n = 185 districts per subject.</w:t>
      </w:r>
    </w:p>
    <w:p>
      <w:pPr>
        <w:pStyle w:val="Heading2"/>
      </w:pPr>
      <w:r>
        <w:t>A.3 Specification</w:t>
      </w:r>
    </w:p>
    <w:p>
      <w:pPr>
        <w:spacing w:after="120"/>
      </w:pPr>
      <w:r>
        <w:rPr>
          <w:rFonts w:ascii="Georgia" w:hAnsi="Georgia"/>
          <w:b w:val="0"/>
          <w:i w:val="0"/>
          <w:color w:val="3A3A3A"/>
          <w:sz w:val="22"/>
        </w:rPr>
        <w:t>One regression per subject:</w:t>
      </w:r>
    </w:p>
    <w:p>
      <w:pPr>
        <w:spacing w:after="120"/>
      </w:pPr>
      <w:r>
        <w:rPr>
          <w:rFonts w:ascii="Georgia" w:hAnsi="Georgia"/>
          <w:b w:val="0"/>
          <w:i/>
          <w:color w:val="3A3A3A"/>
          <w:sz w:val="21"/>
        </w:rPr>
        <w:t>SBACᵢ,ₛ = α_s + β₁·pct_frlᵢ + β₂·pct_iepᵢ + β₃·pct_ellᵢ + β₄·pct_hispanicᵢ + β₅·pct_blackᵢ + β₆·pct_aianᵢ + β₇·pct_apiᵢ + β₈·pct_multiᵢ + εᵢ,ₛ</w:t>
      </w:r>
    </w:p>
    <w:p>
      <w:pPr>
        <w:spacing w:after="120"/>
      </w:pPr>
      <w:r>
        <w:rPr>
          <w:rFonts w:ascii="Georgia" w:hAnsi="Georgia"/>
          <w:b w:val="0"/>
          <w:i w:val="0"/>
          <w:color w:val="3A3A3A"/>
          <w:sz w:val="22"/>
        </w:rPr>
        <w:t>pct_white is the omitted reference category to avoid perfect multicollinearity with race shares summing to 100. pct_api collapses Asian and NHPI for Urban-style cross-state compatibility.</w:t>
      </w:r>
    </w:p>
    <w:p>
      <w:pPr>
        <w:pStyle w:val="Heading2"/>
      </w:pPr>
      <w:r>
        <w:t>A.4 Estimation</w:t>
      </w:r>
    </w:p>
    <w:p>
      <w:pPr>
        <w:spacing w:after="120"/>
      </w:pPr>
      <w:r>
        <w:rPr>
          <w:rFonts w:ascii="Georgia" w:hAnsi="Georgia"/>
          <w:b w:val="0"/>
          <w:i w:val="0"/>
          <w:color w:val="3A3A3A"/>
          <w:sz w:val="22"/>
        </w:rPr>
        <w:t>Ordinary least squares via numpy.linalg.lstsq on the design matrix [1, X]. Cross-section only — no district or year fixed effects. No standard errors reported in v1.5. Equal-weighted: each district contributes one observation regardless of enrollment. Deterministic and reproducible.</w:t>
      </w:r>
    </w:p>
    <w:p>
      <w:pPr>
        <w:pStyle w:val="Heading2"/>
      </w:pPr>
      <w:r>
        <w:t>A.5 Fit</w:t>
      </w:r>
    </w:p>
    <w:p>
      <w:pPr>
        <w:spacing w:after="120"/>
      </w:pPr>
      <w:r>
        <w:rPr>
          <w:rFonts w:ascii="Georgia" w:hAnsi="Georgia"/>
          <w:b w:val="0"/>
          <w:i w:val="0"/>
          <w:color w:val="3A3A3A"/>
          <w:sz w:val="22"/>
        </w:rPr>
        <w:t>ELA: n = 185, R² = 0.42, intercept = 63.1. Math: n = 185, R² = 0.40, intercept = 44.9. R² values are in the expected range for K-12 outcome regressions in the literature (Urban Institute's state-level NAEP fits land at similar magnitudes).</w:t>
      </w:r>
    </w:p>
    <w:p>
      <w:pPr>
        <w:pStyle w:val="Heading2"/>
      </w:pPr>
      <w:r>
        <w:t>A.6 Limitations</w:t>
      </w:r>
    </w:p>
    <w:p>
      <w:pPr>
        <w:pStyle w:val="ListBullet"/>
        <w:spacing w:after="80"/>
      </w:pPr>
      <w:r>
        <w:rPr>
          <w:rFonts w:ascii="Georgia" w:hAnsi="Georgia"/>
          <w:b/>
          <w:color w:val="1A1A1A"/>
          <w:sz w:val="22"/>
        </w:rPr>
        <w:t>Cross-sectional only.</w:t>
      </w:r>
      <w:r>
        <w:rPr>
          <w:rFonts w:ascii="Georgia" w:hAnsi="Georgia"/>
          <w:color w:val="3A3A3A"/>
          <w:sz w:val="22"/>
        </w:rPr>
        <w:t xml:space="preserve"> Single-year snapshot 2024-25; no within-district identification and no statewide-shock absorption. Omitted-variable bias load is high.</w:t>
      </w:r>
    </w:p>
    <w:p>
      <w:pPr>
        <w:pStyle w:val="ListBullet"/>
        <w:spacing w:after="80"/>
      </w:pPr>
      <w:r>
        <w:rPr>
          <w:rFonts w:ascii="Georgia" w:hAnsi="Georgia"/>
          <w:b/>
          <w:color w:val="1A1A1A"/>
          <w:sz w:val="22"/>
        </w:rPr>
        <w:t>Pooled-OLS assumptions.</w:t>
      </w:r>
      <w:r>
        <w:rPr>
          <w:rFonts w:ascii="Georgia" w:hAnsi="Georgia"/>
          <w:color w:val="3A3A3A"/>
          <w:sz w:val="22"/>
        </w:rPr>
        <w:t xml:space="preserve"> Linear additive demographic effects; concentrated-poverty interactions and threshold non-linearities are not modelled.</w:t>
      </w:r>
    </w:p>
    <w:p>
      <w:pPr>
        <w:pStyle w:val="ListBullet"/>
        <w:spacing w:after="80"/>
      </w:pPr>
      <w:r>
        <w:rPr>
          <w:rFonts w:ascii="Georgia" w:hAnsi="Georgia"/>
          <w:b/>
          <w:color w:val="1A1A1A"/>
          <w:sz w:val="22"/>
        </w:rPr>
        <w:t>No causal interpretation.</w:t>
      </w:r>
      <w:r>
        <w:rPr>
          <w:rFonts w:ascii="Georgia" w:hAnsi="Georgia"/>
          <w:color w:val="3A3A3A"/>
          <w:sz w:val="22"/>
        </w:rPr>
        <w:t xml:space="preserve"> Demographic composition is not randomly assigned. The residual is not an unbiased estimate of any treatment effect.</w:t>
      </w:r>
    </w:p>
    <w:p>
      <w:pPr>
        <w:pStyle w:val="ListBullet"/>
        <w:spacing w:after="80"/>
      </w:pPr>
      <w:r>
        <w:rPr>
          <w:rFonts w:ascii="Georgia" w:hAnsi="Georgia"/>
          <w:b/>
          <w:color w:val="1A1A1A"/>
          <w:sz w:val="22"/>
        </w:rPr>
        <w:t>District aggregate.</w:t>
      </w:r>
      <w:r>
        <w:rPr>
          <w:rFonts w:ascii="Georgia" w:hAnsi="Georgia"/>
          <w:color w:val="3A3A3A"/>
          <w:sz w:val="22"/>
        </w:rPr>
        <w:t xml:space="preserve"> 'All Grades' rollup only; no grade-band splits.</w:t>
      </w:r>
    </w:p>
    <w:p>
      <w:pPr>
        <w:pStyle w:val="ListBullet"/>
        <w:spacing w:after="80"/>
      </w:pPr>
      <w:r>
        <w:rPr>
          <w:rFonts w:ascii="Georgia" w:hAnsi="Georgia"/>
          <w:b/>
          <w:color w:val="1A1A1A"/>
          <w:sz w:val="22"/>
        </w:rPr>
        <w:t>Limited covariates.</w:t>
      </w:r>
      <w:r>
        <w:rPr>
          <w:rFonts w:ascii="Georgia" w:hAnsi="Georgia"/>
          <w:color w:val="3A3A3A"/>
          <w:sz w:val="22"/>
        </w:rPr>
        <w:t xml:space="preserve"> No homeless, migrant, foster, mobility, or chronic-absenteeism controls.</w:t>
      </w:r>
    </w:p>
    <w:p>
      <w:pPr>
        <w:pStyle w:val="ListBullet"/>
        <w:spacing w:after="80"/>
      </w:pPr>
      <w:r>
        <w:rPr>
          <w:rFonts w:ascii="Georgia" w:hAnsi="Georgia"/>
          <w:b/>
          <w:color w:val="1A1A1A"/>
          <w:sz w:val="22"/>
        </w:rPr>
        <w:t>Equal weighting.</w:t>
      </w:r>
      <w:r>
        <w:rPr>
          <w:rFonts w:ascii="Georgia" w:hAnsi="Georgia"/>
          <w:color w:val="3A3A3A"/>
          <w:sz w:val="22"/>
        </w:rPr>
        <w:t xml:space="preserve"> A 150-student district and a 45,000-student district contribute equally to the fit.</w:t>
      </w:r>
    </w:p>
    <w:p>
      <w:pPr>
        <w:pStyle w:val="Heading2"/>
      </w:pPr>
      <w:r>
        <w:t>A.7 Proposed v2 (panel TWFE)</w:t>
      </w:r>
    </w:p>
    <w:p>
      <w:pPr>
        <w:spacing w:after="120"/>
      </w:pPr>
      <w:r>
        <w:rPr>
          <w:rFonts w:ascii="Georgia" w:hAnsi="Georgia"/>
          <w:b w:val="0"/>
          <w:i w:val="0"/>
          <w:color w:val="3A3A3A"/>
          <w:sz w:val="22"/>
        </w:rPr>
        <w:t>Once outcomes are backfilled for 2021-22, 2022-23, and 2023-24, the regression becomes a two-way fixed-effects estimator with district fixed effects α_i (absorbing time-invariant district characteristics) and year fixed effects γ_t (absorbing statewide shocks). Estimated on ~788 district-year observations per subject. HC1 + cluster-by-district standard errors. The v2 residual is the within-district deviation from demographically-predicted trend, net of statewide shocks — a stronger and more defensible claim than the v1.5 cross-sectional residual. Causal interpretation still requires an additional research-design layer (DD, synthetic control, RD).</w:t>
      </w:r>
    </w:p>
    <w:p>
      <w:pPr>
        <w:pStyle w:val="Heading1"/>
      </w:pPr>
      <w:r>
        <w:t>Appendix B — Data sources and reproducibility</w:t>
      </w:r>
    </w:p>
    <w:p>
      <w:pPr>
        <w:pStyle w:val="ListBullet"/>
        <w:spacing w:after="80"/>
      </w:pPr>
      <w:r>
        <w:rPr>
          <w:rFonts w:ascii="Georgia" w:hAnsi="Georgia"/>
          <w:b/>
          <w:color w:val="1A1A1A"/>
          <w:sz w:val="22"/>
        </w:rPr>
        <w:t>ODE Smarter Balanced 2024-25 (PAGR pivot).</w:t>
      </w:r>
      <w:r>
        <w:rPr>
          <w:rFonts w:ascii="Georgia" w:hAnsi="Georgia"/>
          <w:color w:val="3A3A3A"/>
          <w:sz w:val="22"/>
        </w:rPr>
        <w:t xml:space="preserve">  D:/Documents/Oregon Education Data/ODE Assessments/</w:t>
      </w:r>
    </w:p>
    <w:p>
      <w:pPr>
        <w:pStyle w:val="ListBullet"/>
        <w:spacing w:after="80"/>
      </w:pPr>
      <w:r>
        <w:rPr>
          <w:rFonts w:ascii="Georgia" w:hAnsi="Georgia"/>
          <w:b/>
          <w:color w:val="1A1A1A"/>
          <w:sz w:val="22"/>
        </w:rPr>
        <w:t>ODE Spring Enrollment 2024-25.</w:t>
      </w:r>
      <w:r>
        <w:rPr>
          <w:rFonts w:ascii="Georgia" w:hAnsi="Georgia"/>
          <w:color w:val="3A3A3A"/>
          <w:sz w:val="22"/>
        </w:rPr>
        <w:t xml:space="preserve">  D:/Documents/Oregon Education Data/ODE Enrollment/spring_student_enrollment_20242025.xlsx</w:t>
      </w:r>
    </w:p>
    <w:p>
      <w:pPr>
        <w:pStyle w:val="ListBullet"/>
        <w:spacing w:after="80"/>
      </w:pPr>
      <w:r>
        <w:rPr>
          <w:rFonts w:ascii="Georgia" w:hAnsi="Georgia"/>
          <w:b/>
          <w:color w:val="1A1A1A"/>
          <w:sz w:val="22"/>
        </w:rPr>
        <w:t>ODE Fall Membership 2016-17 -&gt; 2025-26.</w:t>
      </w:r>
      <w:r>
        <w:rPr>
          <w:rFonts w:ascii="Georgia" w:hAnsi="Georgia"/>
          <w:color w:val="3A3A3A"/>
          <w:sz w:val="22"/>
        </w:rPr>
        <w:t xml:space="preserve">  D:/Documents/Oregon Education Data/ODE Enrollment/fallmembershipreport_*.xlsx</w:t>
      </w:r>
    </w:p>
    <w:p>
      <w:pPr>
        <w:pStyle w:val="ListBullet"/>
        <w:spacing w:after="80"/>
      </w:pPr>
      <w:r>
        <w:rPr>
          <w:rFonts w:ascii="Georgia" w:hAnsi="Georgia"/>
          <w:b/>
          <w:color w:val="1A1A1A"/>
          <w:sz w:val="22"/>
        </w:rPr>
        <w:t>ODE Financials FY24 (Actual Revenue + Expenditure).</w:t>
      </w:r>
      <w:r>
        <w:rPr>
          <w:rFonts w:ascii="Georgia" w:hAnsi="Georgia"/>
          <w:color w:val="3A3A3A"/>
          <w:sz w:val="22"/>
        </w:rPr>
        <w:t xml:space="preserve">  D:/Documents/Oregon Education Data/ODE Financials/2023-24 Actual Revenue Data.xlsx + 2023-24 Actual Expenditure Data.xlsx</w:t>
      </w:r>
    </w:p>
    <w:p>
      <w:pPr>
        <w:pStyle w:val="ListBullet"/>
        <w:spacing w:after="80"/>
      </w:pPr>
      <w:r>
        <w:rPr>
          <w:rFonts w:ascii="Georgia" w:hAnsi="Georgia"/>
          <w:b/>
          <w:color w:val="1A1A1A"/>
          <w:sz w:val="22"/>
        </w:rPr>
        <w:t>NCES CCD Membership SY 2024-25.</w:t>
      </w:r>
      <w:r>
        <w:rPr>
          <w:rFonts w:ascii="Georgia" w:hAnsi="Georgia"/>
          <w:color w:val="3A3A3A"/>
          <w:sz w:val="22"/>
        </w:rPr>
        <w:t xml:space="preserve">  D:/code/oregon-edu-pipeline/data/interim/nces_ccd_oregon/</w:t>
      </w:r>
    </w:p>
    <w:p>
      <w:pPr>
        <w:pStyle w:val="ListBullet"/>
        <w:spacing w:after="80"/>
      </w:pPr>
      <w:r>
        <w:rPr>
          <w:rFonts w:ascii="Georgia" w:hAnsi="Georgia"/>
          <w:b/>
          <w:color w:val="1A1A1A"/>
          <w:sz w:val="22"/>
        </w:rPr>
        <w:t>Urban Institute NAEP fulldata.</w:t>
      </w:r>
      <w:r>
        <w:rPr>
          <w:rFonts w:ascii="Georgia" w:hAnsi="Georgia"/>
          <w:color w:val="3A3A3A"/>
          <w:sz w:val="22"/>
        </w:rPr>
        <w:t xml:space="preserve">  D:\Documents\Oregon Education Data\Urban Institute\NAEP_fulldata.xlsx</w:t>
      </w:r>
    </w:p>
    <w:p>
      <w:pPr>
        <w:pStyle w:val="ListBullet"/>
        <w:spacing w:after="80"/>
      </w:pPr>
      <w:r>
        <w:rPr>
          <w:rFonts w:ascii="Georgia" w:hAnsi="Georgia"/>
          <w:b/>
          <w:color w:val="1A1A1A"/>
          <w:sz w:val="22"/>
        </w:rPr>
        <w:t>Bend-La Pine Official Statements (7 bonds 2013-2025).</w:t>
      </w:r>
      <w:r>
        <w:rPr>
          <w:rFonts w:ascii="Georgia" w:hAnsi="Georgia"/>
          <w:color w:val="3A3A3A"/>
          <w:sz w:val="22"/>
        </w:rPr>
        <w:t xml:space="preserve">  D:/Documents/Bend-La Pine/Official Statements/</w:t>
      </w:r>
    </w:p>
    <w:p>
      <w:pPr>
        <w:pStyle w:val="ListBullet"/>
        <w:spacing w:after="80"/>
      </w:pPr>
      <w:r>
        <w:rPr>
          <w:rFonts w:ascii="Georgia" w:hAnsi="Georgia"/>
          <w:b/>
          <w:color w:val="1A1A1A"/>
          <w:sz w:val="22"/>
        </w:rPr>
        <w:t>Bend-La Pine Annual Reports FY22-FY25.</w:t>
      </w:r>
      <w:r>
        <w:rPr>
          <w:rFonts w:ascii="Georgia" w:hAnsi="Georgia"/>
          <w:color w:val="3A3A3A"/>
          <w:sz w:val="22"/>
        </w:rPr>
        <w:t xml:space="preserve">  D:/Documents/Bend-La Pine/Annual Reports/</w:t>
      </w:r>
    </w:p>
    <w:p>
      <w:pPr>
        <w:spacing w:after="160"/>
      </w:pPr>
      <w:r>
        <w:rPr>
          <w:rFonts w:ascii="Georgia" w:hAnsi="Georgia"/>
          <w:b w:val="0"/>
          <w:i w:val="0"/>
          <w:color w:val="3A3A3A"/>
          <w:sz w:val="22"/>
        </w:rPr>
        <w:t>Pipeline: D:/code/oregon-edu-pipeline/ (Python package, v1.5 dataset, 11 tests passing as of 2026-05-16). The pipeline is deterministic; running it twice on identical raw inputs produces bit-identical outputs. Public methodology repository forthcoming.</w:t>
      </w:r>
    </w:p>
    <w:p>
      <w:pPr>
        <w:pBdr>
          <w:bottom w:val="single" w:sz="6" w:color="E5E5E0"/>
        </w:pBdr>
      </w:pPr>
    </w:p>
    <w:p>
      <w:pPr>
        <w:spacing w:after="80"/>
      </w:pPr>
      <w:r>
        <w:rPr>
          <w:rFonts w:ascii="Georgia" w:hAnsi="Georgia"/>
          <w:b w:val="0"/>
          <w:i/>
          <w:color w:val="6B6B6B"/>
          <w:sz w:val="19"/>
        </w:rPr>
        <w:t>Treehouse Research is the editorial arm of Treehouse Local Consulting, the consulting practice of Sarah Schroeder, MPP. The practice operates under Hands in Jars (Bend, Oregon). Findings reports are free, published in the open, and reproducible from audited records and adopted budgets. Independent fiscal analysis you can take to a council meeting.</w:t>
      </w:r>
    </w:p>
    <w:p>
      <w:pPr>
        <w:spacing w:after="120"/>
      </w:pPr>
      <w:r>
        <w:rPr>
          <w:rFonts w:ascii="Georgia" w:hAnsi="Georgia"/>
          <w:b w:val="0"/>
          <w:i w:val="0"/>
          <w:color w:val="6B6B6B"/>
          <w:sz w:val="19"/>
        </w:rPr>
        <w:t>Contact: treehouse.tlc@gmail.com · handsinjars.com/sarah/consulting</w:t>
      </w:r>
    </w:p>
    <w:sectPr w:rsidR="00FC693F" w:rsidRPr="0006063C" w:rsidSect="00034616">
      <w:pgSz w:w="12240" w:h="15840"/>
      <w:pgMar w:top="1440" w:right="1584" w:bottom="1440" w:left="158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324" w:lineRule="auto"/>
    </w:pPr>
    <w:rPr>
      <w:rFonts w:ascii="Georgia" w:hAnsi="Georgia"/>
      <w:color w:val="3A3A3A"/>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60" w:after="120"/>
      <w:outlineLvl w:val="0"/>
    </w:pPr>
    <w:rPr>
      <w:rFonts w:asciiTheme="majorHAnsi" w:eastAsiaTheme="majorEastAsia" w:hAnsiTheme="majorHAnsi" w:cstheme="majorBidi" w:ascii="Georgia" w:hAnsi="Georgia"/>
      <w:b/>
      <w:bCs/>
      <w:color w:val="8B3A28"/>
      <w:sz w:val="40"/>
      <w:szCs w:val="28"/>
    </w:rPr>
  </w:style>
  <w:style w:type="paragraph" w:styleId="Heading2">
    <w:name w:val="heading 2"/>
    <w:basedOn w:val="Normal"/>
    <w:next w:val="Normal"/>
    <w:link w:val="Heading2Char"/>
    <w:uiPriority w:val="9"/>
    <w:unhideWhenUsed/>
    <w:qFormat/>
    <w:rsid w:val="00FC693F"/>
    <w:pPr>
      <w:keepNext/>
      <w:keepLines/>
      <w:spacing w:before="280" w:after="120"/>
      <w:outlineLvl w:val="1"/>
    </w:pPr>
    <w:rPr>
      <w:rFonts w:asciiTheme="majorHAnsi" w:eastAsiaTheme="majorEastAsia" w:hAnsiTheme="majorHAnsi" w:cstheme="majorBidi" w:ascii="Georgia" w:hAnsi="Georgia"/>
      <w:b/>
      <w:bCs/>
      <w:color w:val="1A1A1A"/>
      <w:sz w:val="30"/>
      <w:szCs w:val="26"/>
    </w:rPr>
  </w:style>
  <w:style w:type="paragraph" w:styleId="Heading3">
    <w:name w:val="heading 3"/>
    <w:basedOn w:val="Normal"/>
    <w:next w:val="Normal"/>
    <w:link w:val="Heading3Char"/>
    <w:uiPriority w:val="9"/>
    <w:unhideWhenUsed/>
    <w:qFormat/>
    <w:rsid w:val="00FC693F"/>
    <w:pPr>
      <w:keepNext/>
      <w:keepLines/>
      <w:spacing w:before="280" w:after="120"/>
      <w:outlineLvl w:val="2"/>
    </w:pPr>
    <w:rPr>
      <w:rFonts w:asciiTheme="majorHAnsi" w:eastAsiaTheme="majorEastAsia" w:hAnsiTheme="majorHAnsi" w:cstheme="majorBidi" w:ascii="Georgia" w:hAnsi="Georgia"/>
      <w:b/>
      <w:bCs/>
      <w:color w:val="1A1A1A"/>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